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9526" w14:textId="0514E48C" w:rsidR="00A03575" w:rsidRDefault="000A7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20. stavka 1. i članka 42. stavka 1. Zakona o lokalnim porezima („Narodne novine“ broj 115/16, 101/17, 114/22, 114/23 i 152/24) i članka 30. Statuta Općine Drnje („Službeni glasnik Koprivničko-križevačke županije“ broj 5/14, 3/18, 5/20, 4/21 i 9/21.-pročišćeni tekst), Općinsko vijeće Općine Drnje na 38. sjednici održanoj __. veljače 2025. godine donijelo je </w:t>
      </w:r>
    </w:p>
    <w:p w14:paraId="7D0461FA" w14:textId="58C6AC02" w:rsidR="000A7540" w:rsidRPr="00DA40CA" w:rsidRDefault="000A7540" w:rsidP="000A75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0CA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1B7FF892" w14:textId="0457E6EB" w:rsidR="000A7540" w:rsidRPr="00DA40CA" w:rsidRDefault="000A7540" w:rsidP="000A75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0CA">
        <w:rPr>
          <w:rFonts w:ascii="Times New Roman" w:hAnsi="Times New Roman" w:cs="Times New Roman"/>
          <w:b/>
          <w:bCs/>
          <w:sz w:val="24"/>
          <w:szCs w:val="24"/>
        </w:rPr>
        <w:t xml:space="preserve">o izmjeni </w:t>
      </w:r>
      <w:r w:rsidR="00DA40CA" w:rsidRPr="00DA40CA">
        <w:rPr>
          <w:rFonts w:ascii="Times New Roman" w:hAnsi="Times New Roman" w:cs="Times New Roman"/>
          <w:b/>
          <w:bCs/>
          <w:sz w:val="24"/>
          <w:szCs w:val="24"/>
        </w:rPr>
        <w:t xml:space="preserve">i dopuni </w:t>
      </w:r>
      <w:r w:rsidRPr="00DA40CA">
        <w:rPr>
          <w:rFonts w:ascii="Times New Roman" w:hAnsi="Times New Roman" w:cs="Times New Roman"/>
          <w:b/>
          <w:bCs/>
          <w:sz w:val="24"/>
          <w:szCs w:val="24"/>
        </w:rPr>
        <w:t>Odluke o općinskim porezima Općine Drnje</w:t>
      </w:r>
    </w:p>
    <w:p w14:paraId="374D7029" w14:textId="10C0C308" w:rsidR="000A7540" w:rsidRDefault="000A7540" w:rsidP="000A75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Članaka 1.</w:t>
      </w:r>
    </w:p>
    <w:p w14:paraId="7761FED1" w14:textId="079CD538" w:rsidR="000A7540" w:rsidRDefault="000A7540" w:rsidP="000A7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Odluci o općinskim porezima Općine Drnje („Službeni glasnik Koprivničko-križevačke županije“ broj 13/24) u članku 2. stavak 1. točka 2. se mijenja i glasi:</w:t>
      </w:r>
    </w:p>
    <w:p w14:paraId="41C66069" w14:textId="67787A7F" w:rsidR="000A7540" w:rsidRDefault="000A7540" w:rsidP="000A7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Porez na nekretnine“.</w:t>
      </w:r>
    </w:p>
    <w:p w14:paraId="67440A93" w14:textId="75253AE2" w:rsidR="000A7540" w:rsidRDefault="000A7540" w:rsidP="000A75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28B8B932" w14:textId="56343EDE" w:rsidR="000A7540" w:rsidRDefault="000A7540" w:rsidP="000A7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Naziv odjeljka 2. iznad članka 6. mijenja i se i glasi</w:t>
      </w:r>
      <w:r w:rsidR="00FF4767">
        <w:rPr>
          <w:rFonts w:ascii="Times New Roman" w:hAnsi="Times New Roman" w:cs="Times New Roman"/>
          <w:sz w:val="24"/>
          <w:szCs w:val="24"/>
        </w:rPr>
        <w:t>: „Porez na nekretnine“.</w:t>
      </w:r>
    </w:p>
    <w:p w14:paraId="4CC80610" w14:textId="4A4A4DA3" w:rsidR="00FF4767" w:rsidRDefault="00FF4767" w:rsidP="000A7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Članak 6. mijenja se i glasi:</w:t>
      </w:r>
    </w:p>
    <w:p w14:paraId="21D4B073" w14:textId="02CB7A7F" w:rsidR="00FF4767" w:rsidRDefault="00FF4767" w:rsidP="000A7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„Porez na nekretnine plaćaju domaće i strane, pravne i fizičke osobe koje su vlasnici nekretnina na području Općine Drnje na dan 31. ožujka godine za koju se utvrđuje porez.</w:t>
      </w:r>
    </w:p>
    <w:p w14:paraId="19C6CE4B" w14:textId="67630F7B" w:rsidR="00FF4767" w:rsidRDefault="00FF4767" w:rsidP="000A7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 od stavka 1. ovog članka, ako se ne može utvrditi vlasnik, porez na nekretnine plaća korisnik nekretnine određen prema odredbama propisa koji ma se uređuje komunalno gospodarstvo.</w:t>
      </w:r>
    </w:p>
    <w:p w14:paraId="4B8D26EE" w14:textId="4D82D225" w:rsidR="00726BC7" w:rsidRDefault="00726BC7" w:rsidP="000A7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Nekretnina je svaka stambena zgrada ili stambeni dio stambeno-poslovne zgrade ili stan te svaki drugi samostalni funkcionalni prostor namijenjen stanovanju. Nekretninom se ne smatraju gospodarstvene zgrade koje služe samo za smještaj poljoprivrednih strojeva, oruđa i drugog pribora te nekretnine koje se prema odluci o komunalnoj nakadi određuje koeficijent namjene za proizvodni ili neproizvodni poslovni prostor.</w:t>
      </w:r>
    </w:p>
    <w:p w14:paraId="1EC1FEE8" w14:textId="72DE0982" w:rsidR="00FF4767" w:rsidRDefault="00B0284C" w:rsidP="000A7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novoizgrađene nekretnine obveza plaćanja poreza na nekretnine nastaje danom izvršnosti uporabne dozvole godine za koju se utvrđuje porez odnosno danom početka korištenja nekretnine koja se koristi bez uporabne dozvole.</w:t>
      </w:r>
    </w:p>
    <w:p w14:paraId="186318F6" w14:textId="69984A84" w:rsidR="00B0284C" w:rsidRDefault="00B0284C" w:rsidP="000A7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Obveza plaćanja poreza na dohodak od iznajmljivanja kuća, stanova, soba i postelja te objekata za robinzonski smještaj putnicima i turistima i organiziranja kampova prema odredbama propisa o porezu na dohodak, obveza plaćanja drugih poreza s osnove obavljanja djelatnosti te prijava prostora kao nekomercijalnog smještaja nema utjecaja na utvrđivanje statusa nekretnine za potreba utvrđivanja poreza na nekretnine.“</w:t>
      </w:r>
    </w:p>
    <w:p w14:paraId="653CE696" w14:textId="66D6CA48" w:rsidR="00726BC7" w:rsidRDefault="00726BC7" w:rsidP="000A7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Iza članka 6. dodaju se članci 6.a i 6.b koji glase:</w:t>
      </w:r>
    </w:p>
    <w:p w14:paraId="00B5ABCA" w14:textId="3175273C" w:rsidR="00726BC7" w:rsidRDefault="00726BC7" w:rsidP="00726B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„Članak 6.a</w:t>
      </w:r>
    </w:p>
    <w:p w14:paraId="193B561E" w14:textId="2EC4B9EC" w:rsidR="00726BC7" w:rsidRDefault="00726BC7" w:rsidP="00726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Porez na nekretnine plaća se godišnje u iznosu 2,50 eura/m² korisne površine, određene propisom koji se utvrđuju uvjeti i mjerila za izračun zaštićene najamnine.</w:t>
      </w:r>
    </w:p>
    <w:p w14:paraId="7F87B27B" w14:textId="5C999AD4" w:rsidR="00AC244C" w:rsidRDefault="00AC244C" w:rsidP="00726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Porez na nekretnine lokalni je porez čiji se prihod dijeli:</w:t>
      </w:r>
    </w:p>
    <w:p w14:paraId="1AEC55B1" w14:textId="7735666C" w:rsidR="00AC244C" w:rsidRDefault="00AC244C" w:rsidP="00AC244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80% udio Općine Drnje</w:t>
      </w:r>
    </w:p>
    <w:p w14:paraId="67E44F55" w14:textId="3A45C194" w:rsidR="00AC244C" w:rsidRDefault="00AC244C" w:rsidP="00AC244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 udio jedinice područne (regionalne) samouprave na čijem se području nekretnina nalazi.</w:t>
      </w:r>
    </w:p>
    <w:p w14:paraId="668E3DFB" w14:textId="0F5312EF" w:rsidR="00AC244C" w:rsidRPr="00AC244C" w:rsidRDefault="00AC244C" w:rsidP="00AC244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6.b</w:t>
      </w:r>
    </w:p>
    <w:p w14:paraId="30DBB165" w14:textId="6AAEDE5E" w:rsidR="00A32DD3" w:rsidRDefault="00A32DD3" w:rsidP="00726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Porez na nekretnine ne plaća se na nekretnine:</w:t>
      </w:r>
    </w:p>
    <w:p w14:paraId="73D2CF21" w14:textId="79CB521B" w:rsidR="00A32DD3" w:rsidRDefault="00DA40CA" w:rsidP="00A32DD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32DD3">
        <w:rPr>
          <w:rFonts w:ascii="Times New Roman" w:hAnsi="Times New Roman" w:cs="Times New Roman"/>
          <w:sz w:val="24"/>
          <w:szCs w:val="24"/>
        </w:rPr>
        <w:t>oje služe za stalo stanovanje,</w:t>
      </w:r>
    </w:p>
    <w:p w14:paraId="5E604A33" w14:textId="62BB1CD5" w:rsidR="00A32DD3" w:rsidRDefault="00DA40CA" w:rsidP="00A32DD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32DD3">
        <w:rPr>
          <w:rFonts w:ascii="Times New Roman" w:hAnsi="Times New Roman" w:cs="Times New Roman"/>
          <w:sz w:val="24"/>
          <w:szCs w:val="24"/>
        </w:rPr>
        <w:t>oje se iznajmljuju na temelju ugovora o najmu za stanovanje,</w:t>
      </w:r>
    </w:p>
    <w:p w14:paraId="464C57D2" w14:textId="2DE94EF9" w:rsidR="00A32DD3" w:rsidRDefault="00DA40CA" w:rsidP="00A32DD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A32DD3">
        <w:rPr>
          <w:rFonts w:ascii="Times New Roman" w:hAnsi="Times New Roman" w:cs="Times New Roman"/>
          <w:sz w:val="24"/>
          <w:szCs w:val="24"/>
        </w:rPr>
        <w:t>avne namjene i nekretnine namijenjene institucionalnom smještaju osoba,</w:t>
      </w:r>
    </w:p>
    <w:p w14:paraId="382DD8DF" w14:textId="6783411F" w:rsidR="00A32DD3" w:rsidRDefault="00DA40CA" w:rsidP="00A32DD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32DD3">
        <w:rPr>
          <w:rFonts w:ascii="Times New Roman" w:hAnsi="Times New Roman" w:cs="Times New Roman"/>
          <w:sz w:val="24"/>
          <w:szCs w:val="24"/>
        </w:rPr>
        <w:t>oje se u poslovnim knjigama trgovačkih društava vode kao nekretnine namijenjene prodaji, ako je od dana unosa u poslovne knjige do 31. ožujka godine za koju se utvrđuje porez proteklo manje od šest mjeseci,</w:t>
      </w:r>
    </w:p>
    <w:p w14:paraId="5F8050E9" w14:textId="37A3E859" w:rsidR="00A32DD3" w:rsidRDefault="00DA40CA" w:rsidP="00A32DD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2DD3">
        <w:rPr>
          <w:rFonts w:ascii="Times New Roman" w:hAnsi="Times New Roman" w:cs="Times New Roman"/>
          <w:sz w:val="24"/>
          <w:szCs w:val="24"/>
        </w:rPr>
        <w:t>reuzete u zamjenu za nenaplaćena potraživanja, ako je od dana preuzimanja do 31. ožujka godine za koju se utvrđuje porez proteklo manje od šest mjeseci,</w:t>
      </w:r>
    </w:p>
    <w:p w14:paraId="4D6CE862" w14:textId="1F42F215" w:rsidR="00A32DD3" w:rsidRDefault="00DA40CA" w:rsidP="00A32DD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32DD3">
        <w:rPr>
          <w:rFonts w:ascii="Times New Roman" w:hAnsi="Times New Roman" w:cs="Times New Roman"/>
          <w:sz w:val="24"/>
          <w:szCs w:val="24"/>
        </w:rPr>
        <w:t>oje zbog proglašenja prirodnih nepogoda u određenom poreznom razdoblju nisu podobne kao stambeni prostor,</w:t>
      </w:r>
    </w:p>
    <w:p w14:paraId="03E9514B" w14:textId="53E32AB5" w:rsidR="00A32DD3" w:rsidRDefault="00DA40CA" w:rsidP="00A32DD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32DD3">
        <w:rPr>
          <w:rFonts w:ascii="Times New Roman" w:hAnsi="Times New Roman" w:cs="Times New Roman"/>
          <w:sz w:val="24"/>
          <w:szCs w:val="24"/>
        </w:rPr>
        <w:t xml:space="preserve"> slučaju kada se iz svih okolnosti može utvrditi da je onemogućena stambena namjena nekretnine,</w:t>
      </w:r>
    </w:p>
    <w:p w14:paraId="38C85D17" w14:textId="52A9549F" w:rsidR="00A32DD3" w:rsidRDefault="00DA40CA" w:rsidP="00A32DD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32DD3">
        <w:rPr>
          <w:rFonts w:ascii="Times New Roman" w:hAnsi="Times New Roman" w:cs="Times New Roman"/>
          <w:sz w:val="24"/>
          <w:szCs w:val="24"/>
        </w:rPr>
        <w:t xml:space="preserve"> vlasništvu Općine Drnje, a koje se nalaze izričito na ter</w:t>
      </w:r>
      <w:r w:rsidR="001A5278">
        <w:rPr>
          <w:rFonts w:ascii="Times New Roman" w:hAnsi="Times New Roman" w:cs="Times New Roman"/>
          <w:sz w:val="24"/>
          <w:szCs w:val="24"/>
        </w:rPr>
        <w:t>itoriju Općine Drnje,</w:t>
      </w:r>
    </w:p>
    <w:p w14:paraId="1777EDD8" w14:textId="7F01D3C7" w:rsidR="001A5278" w:rsidRDefault="00DA40CA" w:rsidP="00A32DD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A5278">
        <w:rPr>
          <w:rFonts w:ascii="Times New Roman" w:hAnsi="Times New Roman" w:cs="Times New Roman"/>
          <w:sz w:val="24"/>
          <w:szCs w:val="24"/>
        </w:rPr>
        <w:t>oje domaćinu određenom prema propisu kojim se uređuje ugostiteljska djelatnost služe za stalno stanovanje.</w:t>
      </w:r>
    </w:p>
    <w:p w14:paraId="512484A1" w14:textId="5DCE0CD8" w:rsidR="00F52701" w:rsidRPr="00F52701" w:rsidRDefault="00F52701" w:rsidP="00F5270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52701">
        <w:rPr>
          <w:rFonts w:ascii="Times New Roman" w:hAnsi="Times New Roman" w:cs="Times New Roman"/>
          <w:sz w:val="24"/>
          <w:szCs w:val="24"/>
        </w:rPr>
        <w:t>Članak 3.</w:t>
      </w:r>
    </w:p>
    <w:p w14:paraId="6CC0F21E" w14:textId="111CAD79" w:rsidR="00F52701" w:rsidRDefault="00F52701" w:rsidP="00F527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2701">
        <w:rPr>
          <w:rFonts w:ascii="Times New Roman" w:hAnsi="Times New Roman" w:cs="Times New Roman"/>
          <w:sz w:val="24"/>
          <w:szCs w:val="24"/>
        </w:rPr>
        <w:t>Članak 7. mijenja se i glasi: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6C80F" w14:textId="382A311B" w:rsidR="00F52701" w:rsidRDefault="00F52701" w:rsidP="00F527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„Obvezni</w:t>
      </w:r>
      <w:r w:rsidR="00BD326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poreza </w:t>
      </w:r>
      <w:r w:rsidR="00BD326C">
        <w:rPr>
          <w:rFonts w:ascii="Times New Roman" w:hAnsi="Times New Roman" w:cs="Times New Roman"/>
          <w:sz w:val="24"/>
          <w:szCs w:val="24"/>
        </w:rPr>
        <w:t xml:space="preserve">iz članka 6. ove Odluke dužan je do 31. ožujka godine za koju se utvrđuje porez, ispostavu Porezne uprave prijaviti promjenu podataka bitnih za utvrđivanje obveza plaćanja poreza na nekretnine, a osobito promjenu obračunske površine </w:t>
      </w:r>
      <w:r w:rsidR="00DA40CA">
        <w:rPr>
          <w:rFonts w:ascii="Times New Roman" w:hAnsi="Times New Roman" w:cs="Times New Roman"/>
          <w:sz w:val="24"/>
          <w:szCs w:val="24"/>
        </w:rPr>
        <w:t>nekretnine odnosno promjenu namjene nekretnine koja utječe na obračun poreza ili dokaze koji utječu na ostvarivanje uvjeta za oslobođenje od plaćanje poreza na nekretnine iz članka 6.b.“</w:t>
      </w:r>
    </w:p>
    <w:p w14:paraId="3D8C3EE5" w14:textId="69198592" w:rsidR="00DA40CA" w:rsidRDefault="00DA40CA" w:rsidP="00DA40C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374075CA" w14:textId="4536E953" w:rsidR="00DA40CA" w:rsidRDefault="00DA40CA" w:rsidP="00DA40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o izmjeni i dopuni Odluke o Općinskim porezima Općine Drnje stupa na snagu osmi dan od dana objave u „Službenom glasniku Koprivničko-križevačke županije“.</w:t>
      </w:r>
    </w:p>
    <w:p w14:paraId="6E79CB03" w14:textId="7C2CA947" w:rsidR="00DA40CA" w:rsidRPr="00DA40CA" w:rsidRDefault="00DA40CA" w:rsidP="00DA40CA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0CA">
        <w:rPr>
          <w:rFonts w:ascii="Times New Roman" w:hAnsi="Times New Roman" w:cs="Times New Roman"/>
          <w:b/>
          <w:bCs/>
          <w:sz w:val="24"/>
          <w:szCs w:val="24"/>
        </w:rPr>
        <w:t>OPĆINSKO VIJEĆE OPĆINE DRNJE</w:t>
      </w:r>
    </w:p>
    <w:p w14:paraId="020DA4C4" w14:textId="77777777" w:rsidR="00DA40CA" w:rsidRDefault="00DA40CA" w:rsidP="00DA40C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44244488" w14:textId="19979452" w:rsidR="00DA40CA" w:rsidRDefault="00DA40CA" w:rsidP="00DA40C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KLASA:410-01/24-01/01</w:t>
      </w:r>
    </w:p>
    <w:p w14:paraId="14F49FE5" w14:textId="5D2A2BB7" w:rsidR="00DA40CA" w:rsidRDefault="00DA40CA" w:rsidP="00DA40C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URBROJ:2137-4-25-2</w:t>
      </w:r>
    </w:p>
    <w:p w14:paraId="5018EB0A" w14:textId="12A809E7" w:rsidR="00DA40CA" w:rsidRDefault="00DA40CA" w:rsidP="00DA40C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Drnje, _. veljače 2025.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6C22FB28" w14:textId="5A1CF384" w:rsidR="00DA40CA" w:rsidRPr="001A5278" w:rsidRDefault="00DA40CA" w:rsidP="00DA40CA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Goran Kolarek</w:t>
      </w:r>
    </w:p>
    <w:sectPr w:rsidR="00DA40CA" w:rsidRPr="001A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D4049"/>
    <w:multiLevelType w:val="hybridMultilevel"/>
    <w:tmpl w:val="E0C8D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22BCA"/>
    <w:multiLevelType w:val="hybridMultilevel"/>
    <w:tmpl w:val="54E406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95271">
    <w:abstractNumId w:val="0"/>
  </w:num>
  <w:num w:numId="2" w16cid:durableId="123989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40"/>
    <w:rsid w:val="000A7540"/>
    <w:rsid w:val="001A5278"/>
    <w:rsid w:val="00264390"/>
    <w:rsid w:val="00726BC7"/>
    <w:rsid w:val="00751C21"/>
    <w:rsid w:val="00756F7E"/>
    <w:rsid w:val="00A03575"/>
    <w:rsid w:val="00A32DD3"/>
    <w:rsid w:val="00AC244C"/>
    <w:rsid w:val="00B0284C"/>
    <w:rsid w:val="00BD326C"/>
    <w:rsid w:val="00C01BB4"/>
    <w:rsid w:val="00CC48EB"/>
    <w:rsid w:val="00DA40CA"/>
    <w:rsid w:val="00F32786"/>
    <w:rsid w:val="00F52701"/>
    <w:rsid w:val="00FE38BE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5D75"/>
  <w15:chartTrackingRefBased/>
  <w15:docId w15:val="{CD039E70-DE16-47AC-B01A-0D4C70B9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7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7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7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7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7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7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7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75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54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75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75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75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75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7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75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75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754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7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754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7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DRNJE</dc:creator>
  <cp:keywords/>
  <dc:description/>
  <cp:lastModifiedBy>OPĆINA DRNJE</cp:lastModifiedBy>
  <cp:revision>3</cp:revision>
  <cp:lastPrinted>2025-01-17T13:41:00Z</cp:lastPrinted>
  <dcterms:created xsi:type="dcterms:W3CDTF">2025-01-17T11:20:00Z</dcterms:created>
  <dcterms:modified xsi:type="dcterms:W3CDTF">2025-01-20T13:03:00Z</dcterms:modified>
</cp:coreProperties>
</file>