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22D58F0A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7579EE">
              <w:rPr>
                <w:rFonts w:cstheme="minorHAnsi"/>
                <w:b/>
              </w:rPr>
              <w:t>Odluke o donošenju Plana rasvjete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343C84DE" w:rsidR="00010377" w:rsidRPr="00955073" w:rsidRDefault="007579EE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srpnja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3BB6D53E" w:rsidR="00010377" w:rsidRPr="00955073" w:rsidRDefault="007579EE" w:rsidP="007168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kolovoza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716836">
              <w:rPr>
                <w:rFonts w:cstheme="minorHAnsi"/>
                <w:b/>
              </w:rPr>
              <w:t>25.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7EADB9AE" w14:textId="77777777" w:rsidR="006F5FA3" w:rsidRPr="006F5FA3" w:rsidRDefault="006F5FA3" w:rsidP="006F5FA3">
            <w:pPr>
              <w:widowControl w:val="0"/>
              <w:autoSpaceDE w:val="0"/>
              <w:autoSpaceDN w:val="0"/>
              <w:ind w:left="2" w:right="274"/>
              <w:jc w:val="both"/>
              <w:rPr>
                <w:rFonts w:eastAsia="Times New Roman" w:cstheme="minorHAnsi"/>
                <w:b/>
                <w:bCs/>
              </w:rPr>
            </w:pPr>
            <w:r w:rsidRPr="006F5FA3">
              <w:rPr>
                <w:rFonts w:eastAsia="Cambria" w:cstheme="minorHAnsi"/>
              </w:rPr>
              <w:t>Pravna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osnova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za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donošenje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ove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Odluke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sadržana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je</w:t>
            </w:r>
            <w:r w:rsidRPr="006F5FA3">
              <w:rPr>
                <w:rFonts w:eastAsia="Cambria" w:cstheme="minorHAnsi"/>
                <w:spacing w:val="26"/>
              </w:rPr>
              <w:t xml:space="preserve"> </w:t>
            </w:r>
            <w:r w:rsidRPr="006F5FA3">
              <w:rPr>
                <w:rFonts w:eastAsia="Cambria" w:cstheme="minorHAnsi"/>
              </w:rPr>
              <w:t>u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članku</w:t>
            </w:r>
            <w:r w:rsidRPr="006F5FA3">
              <w:rPr>
                <w:rFonts w:eastAsia="Cambria" w:cstheme="minorHAnsi"/>
                <w:spacing w:val="-10"/>
              </w:rPr>
              <w:t xml:space="preserve"> </w:t>
            </w:r>
            <w:r w:rsidRPr="006F5FA3">
              <w:rPr>
                <w:rFonts w:eastAsia="Cambria" w:cstheme="minorHAnsi"/>
              </w:rPr>
              <w:t>12.</w:t>
            </w:r>
            <w:r w:rsidRPr="006F5FA3">
              <w:rPr>
                <w:rFonts w:eastAsia="Cambria" w:cstheme="minorHAnsi"/>
                <w:spacing w:val="-12"/>
              </w:rPr>
              <w:t xml:space="preserve"> </w:t>
            </w:r>
            <w:r w:rsidRPr="006F5FA3">
              <w:rPr>
                <w:rFonts w:eastAsia="Cambria" w:cstheme="minorHAnsi"/>
              </w:rPr>
              <w:t>stavka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3.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Zakona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zaštiti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od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svjetlosnog onečišćenja („Narodne novine“ broj 14/19), koji glasi: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  <w:color w:val="000000"/>
                <w:shd w:val="clear" w:color="auto" w:fill="FBFBFB"/>
              </w:rPr>
              <w:t>Predstavničko tijelo</w:t>
            </w:r>
            <w:r w:rsidRPr="006F5FA3">
              <w:rPr>
                <w:rFonts w:eastAsia="Cambria" w:cstheme="minorHAnsi"/>
                <w:color w:val="000000"/>
                <w:spacing w:val="-1"/>
                <w:shd w:val="clear" w:color="auto" w:fill="FBFBFB"/>
              </w:rPr>
              <w:t xml:space="preserve"> </w:t>
            </w:r>
            <w:r w:rsidRPr="006F5FA3">
              <w:rPr>
                <w:rFonts w:eastAsia="Cambria" w:cstheme="minorHAnsi"/>
                <w:color w:val="000000"/>
                <w:shd w:val="clear" w:color="auto" w:fill="FBFBFB"/>
              </w:rPr>
              <w:t>jedinica lokalne</w:t>
            </w:r>
            <w:r w:rsidRPr="006F5FA3">
              <w:rPr>
                <w:rFonts w:eastAsia="Cambria" w:cstheme="minorHAnsi"/>
                <w:color w:val="000000"/>
                <w:spacing w:val="-3"/>
                <w:shd w:val="clear" w:color="auto" w:fill="FBFBFB"/>
              </w:rPr>
              <w:t xml:space="preserve"> </w:t>
            </w:r>
            <w:r w:rsidRPr="006F5FA3">
              <w:rPr>
                <w:rFonts w:eastAsia="Cambria" w:cstheme="minorHAnsi"/>
                <w:color w:val="000000"/>
                <w:shd w:val="clear" w:color="auto" w:fill="FBFBFB"/>
              </w:rPr>
              <w:t>samouprave</w:t>
            </w:r>
            <w:r w:rsidRPr="006F5FA3">
              <w:rPr>
                <w:rFonts w:eastAsia="Cambria" w:cstheme="minorHAnsi"/>
                <w:color w:val="000000"/>
              </w:rPr>
              <w:t xml:space="preserve"> </w:t>
            </w:r>
            <w:r w:rsidRPr="006F5FA3">
              <w:rPr>
                <w:rFonts w:eastAsia="Cambria" w:cstheme="minorHAnsi"/>
                <w:color w:val="000000"/>
                <w:shd w:val="clear" w:color="auto" w:fill="FBFBFB"/>
              </w:rPr>
              <w:t>odnosno Grada Zagreba donosi plan rasvjete za svoje administrativno područje.</w:t>
            </w:r>
            <w:r w:rsidRPr="006F5FA3">
              <w:rPr>
                <w:rFonts w:eastAsia="Cambria" w:cstheme="minorHAnsi"/>
                <w:color w:val="000000"/>
              </w:rPr>
              <w:t xml:space="preserve"> </w:t>
            </w:r>
          </w:p>
          <w:p w14:paraId="69B93395" w14:textId="77777777" w:rsidR="006F5FA3" w:rsidRPr="006F5FA3" w:rsidRDefault="006F5FA3" w:rsidP="006F5FA3">
            <w:pPr>
              <w:widowControl w:val="0"/>
              <w:autoSpaceDE w:val="0"/>
              <w:autoSpaceDN w:val="0"/>
              <w:spacing w:before="110"/>
              <w:rPr>
                <w:rFonts w:eastAsia="Cambria" w:cstheme="minorHAnsi"/>
                <w:b/>
              </w:rPr>
            </w:pPr>
          </w:p>
          <w:p w14:paraId="00FCC036" w14:textId="77777777" w:rsidR="006F5FA3" w:rsidRPr="006F5FA3" w:rsidRDefault="006F5FA3" w:rsidP="006F5FA3">
            <w:pPr>
              <w:widowControl w:val="0"/>
              <w:autoSpaceDE w:val="0"/>
              <w:autoSpaceDN w:val="0"/>
              <w:spacing w:before="1" w:line="276" w:lineRule="auto"/>
              <w:ind w:left="2" w:right="274"/>
              <w:jc w:val="both"/>
              <w:rPr>
                <w:rFonts w:eastAsia="Cambria" w:cstheme="minorHAnsi"/>
              </w:rPr>
            </w:pPr>
            <w:r w:rsidRPr="006F5FA3">
              <w:rPr>
                <w:rFonts w:eastAsia="Cambria" w:cstheme="minorHAnsi"/>
              </w:rPr>
              <w:t>Zakonom o zaštiti od svjetlosnog onečišćenja („Narodne novine“ broj 14/19, u daljnjem tekstu: Zakon) uređuje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se</w:t>
            </w:r>
            <w:r w:rsidRPr="006F5FA3">
              <w:rPr>
                <w:rFonts w:eastAsia="Cambria" w:cstheme="minorHAnsi"/>
                <w:spacing w:val="-10"/>
              </w:rPr>
              <w:t xml:space="preserve"> </w:t>
            </w:r>
            <w:r w:rsidRPr="006F5FA3">
              <w:rPr>
                <w:rFonts w:eastAsia="Cambria" w:cstheme="minorHAnsi"/>
              </w:rPr>
              <w:t>zaštita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od</w:t>
            </w:r>
            <w:r w:rsidRPr="006F5FA3">
              <w:rPr>
                <w:rFonts w:eastAsia="Cambria" w:cstheme="minorHAnsi"/>
                <w:spacing w:val="-9"/>
              </w:rPr>
              <w:t xml:space="preserve"> </w:t>
            </w:r>
            <w:r w:rsidRPr="006F5FA3">
              <w:rPr>
                <w:rFonts w:eastAsia="Cambria" w:cstheme="minorHAnsi"/>
              </w:rPr>
              <w:t>svjetlosnog</w:t>
            </w:r>
            <w:r w:rsidRPr="006F5FA3">
              <w:rPr>
                <w:rFonts w:eastAsia="Cambria" w:cstheme="minorHAnsi"/>
                <w:spacing w:val="-8"/>
              </w:rPr>
              <w:t xml:space="preserve"> </w:t>
            </w:r>
            <w:r w:rsidRPr="006F5FA3">
              <w:rPr>
                <w:rFonts w:eastAsia="Cambria" w:cstheme="minorHAnsi"/>
              </w:rPr>
              <w:t>onečišćenja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koja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obuhvaća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obveznike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zaštite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od</w:t>
            </w:r>
            <w:r w:rsidRPr="006F5FA3">
              <w:rPr>
                <w:rFonts w:eastAsia="Cambria" w:cstheme="minorHAnsi"/>
                <w:spacing w:val="-4"/>
              </w:rPr>
              <w:t xml:space="preserve"> </w:t>
            </w:r>
            <w:r w:rsidRPr="006F5FA3">
              <w:rPr>
                <w:rFonts w:eastAsia="Cambria" w:cstheme="minorHAnsi"/>
              </w:rPr>
              <w:t>svjetlosnog</w:t>
            </w:r>
            <w:r w:rsidRPr="006F5FA3">
              <w:rPr>
                <w:rFonts w:eastAsia="Cambria" w:cstheme="minorHAnsi"/>
                <w:spacing w:val="-9"/>
              </w:rPr>
              <w:t xml:space="preserve"> </w:t>
            </w:r>
            <w:r w:rsidRPr="006F5FA3">
              <w:rPr>
                <w:rFonts w:eastAsia="Cambria" w:cstheme="minorHAnsi"/>
              </w:rPr>
              <w:t>onečišćenja, mjere</w:t>
            </w:r>
            <w:r w:rsidRPr="006F5FA3">
              <w:rPr>
                <w:rFonts w:eastAsia="Cambria" w:cstheme="minorHAnsi"/>
                <w:spacing w:val="-8"/>
              </w:rPr>
              <w:t xml:space="preserve"> </w:t>
            </w:r>
            <w:r w:rsidRPr="006F5FA3">
              <w:rPr>
                <w:rFonts w:eastAsia="Cambria" w:cstheme="minorHAnsi"/>
              </w:rPr>
              <w:t>zaštite</w:t>
            </w:r>
            <w:r w:rsidRPr="006F5FA3">
              <w:rPr>
                <w:rFonts w:eastAsia="Cambria" w:cstheme="minorHAnsi"/>
                <w:spacing w:val="-8"/>
              </w:rPr>
              <w:t xml:space="preserve"> </w:t>
            </w:r>
            <w:r w:rsidRPr="006F5FA3">
              <w:rPr>
                <w:rFonts w:eastAsia="Cambria" w:cstheme="minorHAnsi"/>
              </w:rPr>
              <w:t>od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svjetlosnog</w:t>
            </w:r>
            <w:r w:rsidRPr="006F5FA3">
              <w:rPr>
                <w:rFonts w:eastAsia="Cambria" w:cstheme="minorHAnsi"/>
                <w:spacing w:val="-6"/>
              </w:rPr>
              <w:t xml:space="preserve"> </w:t>
            </w:r>
            <w:r w:rsidRPr="006F5FA3">
              <w:rPr>
                <w:rFonts w:eastAsia="Cambria" w:cstheme="minorHAnsi"/>
              </w:rPr>
              <w:t>onečišćenja,</w:t>
            </w:r>
            <w:r w:rsidRPr="006F5FA3">
              <w:rPr>
                <w:rFonts w:eastAsia="Cambria" w:cstheme="minorHAnsi"/>
                <w:spacing w:val="-8"/>
              </w:rPr>
              <w:t xml:space="preserve"> </w:t>
            </w:r>
            <w:r w:rsidRPr="006F5FA3">
              <w:rPr>
                <w:rFonts w:eastAsia="Cambria" w:cstheme="minorHAnsi"/>
              </w:rPr>
              <w:t>način</w:t>
            </w:r>
            <w:r w:rsidRPr="006F5FA3">
              <w:rPr>
                <w:rFonts w:eastAsia="Cambria" w:cstheme="minorHAnsi"/>
                <w:spacing w:val="-6"/>
              </w:rPr>
              <w:t xml:space="preserve"> </w:t>
            </w:r>
            <w:r w:rsidRPr="006F5FA3">
              <w:rPr>
                <w:rFonts w:eastAsia="Cambria" w:cstheme="minorHAnsi"/>
              </w:rPr>
              <w:t>utvrđivanja</w:t>
            </w:r>
            <w:r w:rsidRPr="006F5FA3">
              <w:rPr>
                <w:rFonts w:eastAsia="Cambria" w:cstheme="minorHAnsi"/>
                <w:spacing w:val="-8"/>
              </w:rPr>
              <w:t xml:space="preserve"> </w:t>
            </w:r>
            <w:r w:rsidRPr="006F5FA3">
              <w:rPr>
                <w:rFonts w:eastAsia="Cambria" w:cstheme="minorHAnsi"/>
              </w:rPr>
              <w:t>najviše</w:t>
            </w:r>
            <w:r w:rsidRPr="006F5FA3">
              <w:rPr>
                <w:rFonts w:eastAsia="Cambria" w:cstheme="minorHAnsi"/>
                <w:spacing w:val="-7"/>
              </w:rPr>
              <w:t xml:space="preserve"> </w:t>
            </w:r>
            <w:r w:rsidRPr="006F5FA3">
              <w:rPr>
                <w:rFonts w:eastAsia="Cambria" w:cstheme="minorHAnsi"/>
              </w:rPr>
              <w:t>dopuštenih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vrijednosti</w:t>
            </w:r>
            <w:r w:rsidRPr="006F5FA3">
              <w:rPr>
                <w:rFonts w:eastAsia="Cambria" w:cstheme="minorHAnsi"/>
                <w:spacing w:val="-5"/>
              </w:rPr>
              <w:t xml:space="preserve"> </w:t>
            </w:r>
            <w:r w:rsidRPr="006F5FA3">
              <w:rPr>
                <w:rFonts w:eastAsia="Cambria" w:cstheme="minorHAnsi"/>
              </w:rPr>
              <w:t>rasvjetljavanja, ograničenja i zabrane rasvjetljavanja, uvjete za planiranje, gradnju, održavanje i rekonstrukciju vanjske rasvjete, mjerenje i način praćenja rasvijetljenosti okoliša te druga pitanja radi smanjenja svjetlosnog onečišćenja okoliša i posljedica djelovanja svjetlosnog onečišćenja. Prema članku 12. stavku 3. istog Zakona, jedinice lokalne samouprave i Grad Zagreb dužni su za svoje područje izraditi plan rasvjete i dostaviti ih</w:t>
            </w:r>
            <w:r w:rsidRPr="006F5FA3">
              <w:rPr>
                <w:rFonts w:eastAsia="Cambria" w:cstheme="minorHAnsi"/>
                <w:spacing w:val="-5"/>
              </w:rPr>
              <w:t xml:space="preserve"> </w:t>
            </w:r>
            <w:r w:rsidRPr="006F5FA3">
              <w:rPr>
                <w:rFonts w:eastAsia="Cambria" w:cstheme="minorHAnsi"/>
              </w:rPr>
              <w:t>Ministarstvu u</w:t>
            </w:r>
            <w:r w:rsidRPr="006F5FA3">
              <w:rPr>
                <w:rFonts w:eastAsia="Cambria" w:cstheme="minorHAnsi"/>
                <w:spacing w:val="-1"/>
              </w:rPr>
              <w:t xml:space="preserve"> </w:t>
            </w:r>
            <w:r w:rsidRPr="006F5FA3">
              <w:rPr>
                <w:rFonts w:eastAsia="Cambria" w:cstheme="minorHAnsi"/>
              </w:rPr>
              <w:t>roku od 12</w:t>
            </w:r>
            <w:r w:rsidRPr="006F5FA3">
              <w:rPr>
                <w:rFonts w:eastAsia="Cambria" w:cstheme="minorHAnsi"/>
                <w:spacing w:val="-1"/>
              </w:rPr>
              <w:t xml:space="preserve"> </w:t>
            </w:r>
            <w:r w:rsidRPr="006F5FA3">
              <w:rPr>
                <w:rFonts w:eastAsia="Cambria" w:cstheme="minorHAnsi"/>
              </w:rPr>
              <w:t>mjeseci</w:t>
            </w:r>
            <w:r w:rsidRPr="006F5FA3">
              <w:rPr>
                <w:rFonts w:eastAsia="Cambria" w:cstheme="minorHAnsi"/>
                <w:spacing w:val="6"/>
              </w:rPr>
              <w:t xml:space="preserve"> </w:t>
            </w:r>
            <w:r w:rsidRPr="006F5FA3">
              <w:rPr>
                <w:rFonts w:eastAsia="Cambria" w:cstheme="minorHAnsi"/>
              </w:rPr>
              <w:t>od</w:t>
            </w:r>
            <w:r w:rsidRPr="006F5FA3">
              <w:rPr>
                <w:rFonts w:eastAsia="Cambria" w:cstheme="minorHAnsi"/>
                <w:spacing w:val="-1"/>
              </w:rPr>
              <w:t xml:space="preserve"> </w:t>
            </w:r>
            <w:r w:rsidRPr="006F5FA3">
              <w:rPr>
                <w:rFonts w:eastAsia="Cambria" w:cstheme="minorHAnsi"/>
              </w:rPr>
              <w:t>dana</w:t>
            </w:r>
            <w:r w:rsidRPr="006F5FA3">
              <w:rPr>
                <w:rFonts w:eastAsia="Cambria" w:cstheme="minorHAnsi"/>
                <w:spacing w:val="-7"/>
              </w:rPr>
              <w:t xml:space="preserve"> </w:t>
            </w:r>
            <w:r w:rsidRPr="006F5FA3">
              <w:rPr>
                <w:rFonts w:eastAsia="Cambria" w:cstheme="minorHAnsi"/>
              </w:rPr>
              <w:t>stupanja</w:t>
            </w:r>
            <w:r w:rsidRPr="006F5FA3">
              <w:rPr>
                <w:rFonts w:eastAsia="Cambria" w:cstheme="minorHAnsi"/>
                <w:spacing w:val="3"/>
              </w:rPr>
              <w:t xml:space="preserve"> </w:t>
            </w:r>
            <w:r w:rsidRPr="006F5FA3">
              <w:rPr>
                <w:rFonts w:eastAsia="Cambria" w:cstheme="minorHAnsi"/>
              </w:rPr>
              <w:t>na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snagu</w:t>
            </w:r>
            <w:r w:rsidRPr="006F5FA3">
              <w:rPr>
                <w:rFonts w:eastAsia="Cambria" w:cstheme="minorHAnsi"/>
                <w:spacing w:val="5"/>
              </w:rPr>
              <w:t xml:space="preserve"> </w:t>
            </w:r>
            <w:r w:rsidRPr="006F5FA3">
              <w:rPr>
                <w:rFonts w:eastAsia="Cambria" w:cstheme="minorHAnsi"/>
              </w:rPr>
              <w:t>Pravilnika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iz</w:t>
            </w:r>
            <w:r w:rsidRPr="006F5FA3">
              <w:rPr>
                <w:rFonts w:eastAsia="Cambria" w:cstheme="minorHAnsi"/>
                <w:spacing w:val="2"/>
              </w:rPr>
              <w:t xml:space="preserve"> </w:t>
            </w:r>
            <w:r w:rsidRPr="006F5FA3">
              <w:rPr>
                <w:rFonts w:eastAsia="Cambria" w:cstheme="minorHAnsi"/>
              </w:rPr>
              <w:t>članka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10.</w:t>
            </w:r>
            <w:r w:rsidRPr="006F5FA3">
              <w:rPr>
                <w:rFonts w:eastAsia="Cambria" w:cstheme="minorHAnsi"/>
                <w:spacing w:val="2"/>
              </w:rPr>
              <w:t xml:space="preserve"> </w:t>
            </w:r>
            <w:r w:rsidRPr="006F5FA3">
              <w:rPr>
                <w:rFonts w:eastAsia="Cambria" w:cstheme="minorHAnsi"/>
                <w:spacing w:val="-2"/>
              </w:rPr>
              <w:t>stavka</w:t>
            </w:r>
            <w:r w:rsidRPr="006F5FA3">
              <w:rPr>
                <w:rFonts w:eastAsia="Cambria" w:cstheme="minorHAnsi"/>
              </w:rPr>
              <w:t xml:space="preserve"> 3.</w:t>
            </w:r>
            <w:r w:rsidRPr="006F5FA3">
              <w:rPr>
                <w:rFonts w:eastAsia="Cambria" w:cstheme="minorHAnsi"/>
                <w:spacing w:val="-3"/>
              </w:rPr>
              <w:t xml:space="preserve"> </w:t>
            </w:r>
            <w:r w:rsidRPr="006F5FA3">
              <w:rPr>
                <w:rFonts w:eastAsia="Cambria" w:cstheme="minorHAnsi"/>
              </w:rPr>
              <w:t>i članka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12.</w:t>
            </w:r>
            <w:r w:rsidRPr="006F5FA3">
              <w:rPr>
                <w:rFonts w:eastAsia="Cambria" w:cstheme="minorHAnsi"/>
                <w:spacing w:val="-3"/>
              </w:rPr>
              <w:t xml:space="preserve"> </w:t>
            </w:r>
            <w:r w:rsidRPr="006F5FA3">
              <w:rPr>
                <w:rFonts w:eastAsia="Cambria" w:cstheme="minorHAnsi"/>
              </w:rPr>
              <w:t>stavka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8.</w:t>
            </w:r>
            <w:r w:rsidRPr="006F5FA3">
              <w:rPr>
                <w:rFonts w:eastAsia="Cambria" w:cstheme="minorHAnsi"/>
                <w:spacing w:val="-3"/>
              </w:rPr>
              <w:t xml:space="preserve"> </w:t>
            </w:r>
            <w:r w:rsidRPr="006F5FA3">
              <w:rPr>
                <w:rFonts w:eastAsia="Cambria" w:cstheme="minorHAnsi"/>
              </w:rPr>
              <w:t>istoga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Zakona.</w:t>
            </w:r>
            <w:r w:rsidRPr="006F5FA3">
              <w:rPr>
                <w:rFonts w:eastAsia="Cambria" w:cstheme="minorHAnsi"/>
                <w:spacing w:val="-3"/>
              </w:rPr>
              <w:t xml:space="preserve"> </w:t>
            </w:r>
            <w:r w:rsidRPr="006F5FA3">
              <w:rPr>
                <w:rFonts w:eastAsia="Cambria" w:cstheme="minorHAnsi"/>
              </w:rPr>
              <w:t>Obveza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izrade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plana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rasvjete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proizlazi iz</w:t>
            </w:r>
            <w:r w:rsidRPr="006F5FA3">
              <w:rPr>
                <w:rFonts w:eastAsia="Cambria" w:cstheme="minorHAnsi"/>
                <w:spacing w:val="-7"/>
              </w:rPr>
              <w:t xml:space="preserve"> </w:t>
            </w:r>
            <w:r w:rsidRPr="006F5FA3">
              <w:rPr>
                <w:rFonts w:eastAsia="Cambria" w:cstheme="minorHAnsi"/>
              </w:rPr>
              <w:t>Zakona.</w:t>
            </w:r>
            <w:r w:rsidRPr="006F5FA3">
              <w:rPr>
                <w:rFonts w:eastAsia="Cambria" w:cstheme="minorHAnsi"/>
                <w:spacing w:val="-3"/>
              </w:rPr>
              <w:t xml:space="preserve"> </w:t>
            </w:r>
            <w:r w:rsidRPr="006F5FA3">
              <w:rPr>
                <w:rFonts w:eastAsia="Cambria" w:cstheme="minorHAnsi"/>
              </w:rPr>
              <w:t>Plan</w:t>
            </w:r>
            <w:r w:rsidRPr="006F5FA3">
              <w:rPr>
                <w:rFonts w:eastAsia="Cambria" w:cstheme="minorHAnsi"/>
                <w:spacing w:val="-5"/>
              </w:rPr>
              <w:t xml:space="preserve"> </w:t>
            </w:r>
            <w:r w:rsidRPr="006F5FA3">
              <w:rPr>
                <w:rFonts w:eastAsia="Cambria" w:cstheme="minorHAnsi"/>
              </w:rPr>
              <w:t>rasvjete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je plan vanjske rasvjete i dekorativne rasvjete koji donose jedinice lokalne samouprave i Grad Zagreb, u skladu s prostornim i urbanističkim planovima, a kojim se određuju zone ugradnje rasvjete i tehnički parametri rasvjete. Plan rasvjete mora biti usklađen s prostornim i urbanističkim planovima, tehnički parametri rasvjete u skladu sa Zakonom. Predstavničko tijelo jedinica lokalne samouprave odnosno Grada Zagreba donosi plan rasvjete za svoje administrativno</w:t>
            </w:r>
            <w:r w:rsidRPr="006F5FA3">
              <w:rPr>
                <w:rFonts w:eastAsia="Cambria" w:cstheme="minorHAnsi"/>
                <w:spacing w:val="-1"/>
              </w:rPr>
              <w:t xml:space="preserve"> </w:t>
            </w:r>
            <w:r w:rsidRPr="006F5FA3">
              <w:rPr>
                <w:rFonts w:eastAsia="Cambria" w:cstheme="minorHAnsi"/>
              </w:rPr>
              <w:t>područje. Nadležno</w:t>
            </w:r>
            <w:r w:rsidRPr="006F5FA3">
              <w:rPr>
                <w:rFonts w:eastAsia="Cambria" w:cstheme="minorHAnsi"/>
                <w:spacing w:val="-1"/>
              </w:rPr>
              <w:t xml:space="preserve"> </w:t>
            </w:r>
            <w:r w:rsidRPr="006F5FA3">
              <w:rPr>
                <w:rFonts w:eastAsia="Cambria" w:cstheme="minorHAnsi"/>
              </w:rPr>
              <w:t>upravno</w:t>
            </w:r>
            <w:r w:rsidRPr="006F5FA3">
              <w:rPr>
                <w:rFonts w:eastAsia="Cambria" w:cstheme="minorHAnsi"/>
                <w:spacing w:val="-1"/>
              </w:rPr>
              <w:t xml:space="preserve"> </w:t>
            </w:r>
            <w:r w:rsidRPr="006F5FA3">
              <w:rPr>
                <w:rFonts w:eastAsia="Cambria" w:cstheme="minorHAnsi"/>
              </w:rPr>
              <w:t>tijelo</w:t>
            </w:r>
            <w:r w:rsidRPr="006F5FA3">
              <w:rPr>
                <w:rFonts w:eastAsia="Cambria" w:cstheme="minorHAnsi"/>
                <w:spacing w:val="-1"/>
              </w:rPr>
              <w:t xml:space="preserve"> </w:t>
            </w:r>
            <w:r w:rsidRPr="006F5FA3">
              <w:rPr>
                <w:rFonts w:eastAsia="Cambria" w:cstheme="minorHAnsi"/>
              </w:rPr>
              <w:t>jedinice lokalne</w:t>
            </w:r>
            <w:r w:rsidRPr="006F5FA3">
              <w:rPr>
                <w:rFonts w:eastAsia="Cambria" w:cstheme="minorHAnsi"/>
                <w:spacing w:val="-3"/>
              </w:rPr>
              <w:t xml:space="preserve"> </w:t>
            </w:r>
            <w:r w:rsidRPr="006F5FA3">
              <w:rPr>
                <w:rFonts w:eastAsia="Cambria" w:cstheme="minorHAnsi"/>
              </w:rPr>
              <w:t>samouprave odnosno Grada Zagreba osigurava izradu plana rasvjete.</w:t>
            </w:r>
          </w:p>
          <w:p w14:paraId="7B668C5D" w14:textId="77777777" w:rsidR="006F5FA3" w:rsidRPr="006F5FA3" w:rsidRDefault="006F5FA3" w:rsidP="006F5FA3">
            <w:pPr>
              <w:widowControl w:val="0"/>
              <w:autoSpaceDE w:val="0"/>
              <w:autoSpaceDN w:val="0"/>
              <w:spacing w:before="105"/>
              <w:rPr>
                <w:rFonts w:eastAsia="Cambria" w:cstheme="minorHAnsi"/>
              </w:rPr>
            </w:pPr>
          </w:p>
          <w:p w14:paraId="265AF862" w14:textId="5150F3F5" w:rsidR="00154EBB" w:rsidRPr="006F5FA3" w:rsidRDefault="006F5FA3" w:rsidP="006F5FA3">
            <w:pPr>
              <w:widowControl w:val="0"/>
              <w:autoSpaceDE w:val="0"/>
              <w:autoSpaceDN w:val="0"/>
              <w:spacing w:line="276" w:lineRule="auto"/>
              <w:ind w:left="2" w:right="27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F5FA3">
              <w:rPr>
                <w:rFonts w:eastAsia="Cambria" w:cstheme="minorHAnsi"/>
              </w:rPr>
              <w:t>Doneseni plan rasvjete dostavlja se Ministarstvu zaduženom za zaštitu okoliša te je on sastavni dio informacijskog sustava zaštite okoliša i prirode Republike Hrvatske. Plan rasvjete mora biti usklađen s Pravilnikom o zonama rasvijetljenosti, dopuštenim vrijednostima rasvjetljavanja i načinima upravljanja rasvjetnim sustavima („Narodne novine“ broj 128/20), Pravilnikom o mjerenju i načinu praćenja rasvijetljenosti okoliša („Narodne novine“ broj 22/23)</w:t>
            </w:r>
            <w:r w:rsidRPr="006F5FA3">
              <w:rPr>
                <w:rFonts w:eastAsia="Cambria" w:cstheme="minorHAnsi"/>
                <w:spacing w:val="-2"/>
              </w:rPr>
              <w:t xml:space="preserve"> </w:t>
            </w:r>
            <w:r w:rsidRPr="006F5FA3">
              <w:rPr>
                <w:rFonts w:eastAsia="Cambria" w:cstheme="minorHAnsi"/>
              </w:rPr>
              <w:t>i Pravilnikom o sadržaju, formatu i načinu izrade plana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rasvjete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i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akcijskog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plana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gradnje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i/ili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rekonstrukcije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vanjske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rasvjete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(„Narodne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novine“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broj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 xml:space="preserve">22/23) te se samim time predlaže donošenje Odluke o donošenju Plana rasvjete Općine </w:t>
            </w:r>
            <w:r w:rsidRPr="006F5FA3">
              <w:rPr>
                <w:rFonts w:eastAsia="Cambria" w:cstheme="minorHAnsi"/>
              </w:rPr>
              <w:t>Drnje</w:t>
            </w:r>
            <w:r w:rsidRPr="006F5FA3">
              <w:rPr>
                <w:rFonts w:eastAsia="Cambria" w:cstheme="minorHAnsi"/>
              </w:rPr>
              <w:t>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6AC209BA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7579EE">
        <w:rPr>
          <w:rFonts w:cstheme="minorHAnsi"/>
          <w:b/>
        </w:rPr>
        <w:t>06</w:t>
      </w:r>
      <w:r w:rsidR="00812F65" w:rsidRPr="00955073">
        <w:rPr>
          <w:rFonts w:cstheme="minorHAnsi"/>
          <w:b/>
        </w:rPr>
        <w:t xml:space="preserve">. </w:t>
      </w:r>
      <w:r w:rsidR="007579EE">
        <w:rPr>
          <w:rFonts w:cstheme="minorHAnsi"/>
          <w:b/>
        </w:rPr>
        <w:t>kolovoza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7579EE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7579EE">
        <w:rPr>
          <w:rFonts w:cstheme="minorHAnsi"/>
          <w:bCs/>
        </w:rPr>
        <w:t>Odluke o donošenju Plana rasvjete</w:t>
      </w:r>
      <w:r w:rsidR="007D3334" w:rsidRPr="007D3334">
        <w:rPr>
          <w:rFonts w:cstheme="minorHAnsi"/>
          <w:bCs/>
        </w:rPr>
        <w:t xml:space="preserve"> Općine Drnje </w:t>
      </w:r>
      <w:r w:rsidR="00874EE0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lastRenderedPageBreak/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1C2730C7" w14:textId="3DF5A03F" w:rsidR="00CC0F0F" w:rsidRDefault="008F19F7" w:rsidP="00CC0F0F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>acrta</w:t>
      </w:r>
      <w:r w:rsidR="00874EE0" w:rsidRPr="00874EE0">
        <w:rPr>
          <w:rFonts w:cstheme="minorHAnsi"/>
        </w:rPr>
        <w:t xml:space="preserve"> </w:t>
      </w:r>
      <w:r w:rsidR="007579EE">
        <w:rPr>
          <w:rFonts w:cstheme="minorHAnsi"/>
          <w:bCs/>
        </w:rPr>
        <w:t>Odluke o donošenju Plana rasvjete Općine Drnje.</w:t>
      </w:r>
    </w:p>
    <w:p w14:paraId="5C66C204" w14:textId="77777777" w:rsidR="007D3334" w:rsidRDefault="007D3334" w:rsidP="00CC0F0F">
      <w:pPr>
        <w:spacing w:after="0"/>
        <w:ind w:firstLine="708"/>
        <w:jc w:val="both"/>
        <w:rPr>
          <w:rFonts w:cstheme="minorHAnsi"/>
        </w:rPr>
      </w:pPr>
    </w:p>
    <w:p w14:paraId="614840E9" w14:textId="1EBF4D2B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CC0F0F">
        <w:rPr>
          <w:rFonts w:cstheme="minorHAnsi"/>
        </w:rPr>
        <w:t>5</w:t>
      </w:r>
      <w:r>
        <w:rPr>
          <w:rFonts w:cstheme="minorHAnsi"/>
        </w:rPr>
        <w:t>-01/</w:t>
      </w:r>
      <w:r w:rsidR="00B45D32">
        <w:rPr>
          <w:rFonts w:cstheme="minorHAnsi"/>
        </w:rPr>
        <w:t>0</w:t>
      </w:r>
      <w:r w:rsidR="007579EE">
        <w:rPr>
          <w:rFonts w:cstheme="minorHAnsi"/>
        </w:rPr>
        <w:t>6</w:t>
      </w:r>
    </w:p>
    <w:p w14:paraId="2BEF0682" w14:textId="558AC5D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CC0F0F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568D6C6C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7579EE">
        <w:rPr>
          <w:rFonts w:cstheme="minorHAnsi"/>
        </w:rPr>
        <w:t>08</w:t>
      </w:r>
      <w:r>
        <w:rPr>
          <w:rFonts w:cstheme="minorHAnsi"/>
        </w:rPr>
        <w:t xml:space="preserve">. </w:t>
      </w:r>
      <w:r w:rsidR="007579EE">
        <w:rPr>
          <w:rFonts w:cstheme="minorHAnsi"/>
        </w:rPr>
        <w:t>srpnja</w:t>
      </w:r>
      <w:r>
        <w:rPr>
          <w:rFonts w:cstheme="minorHAnsi"/>
        </w:rPr>
        <w:t xml:space="preserve"> 202</w:t>
      </w:r>
      <w:r w:rsidR="00CC0F0F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384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1FC8" w14:textId="77777777" w:rsidR="00E60965" w:rsidRDefault="00E60965" w:rsidP="00A04D02">
      <w:pPr>
        <w:spacing w:after="0" w:line="240" w:lineRule="auto"/>
      </w:pPr>
      <w:r>
        <w:separator/>
      </w:r>
    </w:p>
  </w:endnote>
  <w:endnote w:type="continuationSeparator" w:id="0">
    <w:p w14:paraId="6CDB0AC9" w14:textId="77777777" w:rsidR="00E60965" w:rsidRDefault="00E60965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7586" w14:textId="77777777" w:rsidR="00E60965" w:rsidRDefault="00E60965" w:rsidP="00A04D02">
      <w:pPr>
        <w:spacing w:after="0" w:line="240" w:lineRule="auto"/>
      </w:pPr>
      <w:r>
        <w:separator/>
      </w:r>
    </w:p>
  </w:footnote>
  <w:footnote w:type="continuationSeparator" w:id="0">
    <w:p w14:paraId="26C6F3E5" w14:textId="77777777" w:rsidR="00E60965" w:rsidRDefault="00E60965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3193B"/>
    <w:rsid w:val="00041DB7"/>
    <w:rsid w:val="00056A76"/>
    <w:rsid w:val="000718EF"/>
    <w:rsid w:val="000728CE"/>
    <w:rsid w:val="000964DE"/>
    <w:rsid w:val="000F472C"/>
    <w:rsid w:val="00100EAD"/>
    <w:rsid w:val="00125BB5"/>
    <w:rsid w:val="00154EBB"/>
    <w:rsid w:val="00165553"/>
    <w:rsid w:val="001B0993"/>
    <w:rsid w:val="00212A19"/>
    <w:rsid w:val="00214CAA"/>
    <w:rsid w:val="00231B49"/>
    <w:rsid w:val="00240273"/>
    <w:rsid w:val="00250965"/>
    <w:rsid w:val="00261336"/>
    <w:rsid w:val="002713BA"/>
    <w:rsid w:val="002B1374"/>
    <w:rsid w:val="002F526B"/>
    <w:rsid w:val="00306A1E"/>
    <w:rsid w:val="00350452"/>
    <w:rsid w:val="0035325B"/>
    <w:rsid w:val="003802B0"/>
    <w:rsid w:val="003849B0"/>
    <w:rsid w:val="00392788"/>
    <w:rsid w:val="003A2571"/>
    <w:rsid w:val="003A6FA5"/>
    <w:rsid w:val="003B72F8"/>
    <w:rsid w:val="004129D2"/>
    <w:rsid w:val="00430E84"/>
    <w:rsid w:val="00435758"/>
    <w:rsid w:val="00481772"/>
    <w:rsid w:val="00487ED3"/>
    <w:rsid w:val="004A7C46"/>
    <w:rsid w:val="004F3099"/>
    <w:rsid w:val="005430CB"/>
    <w:rsid w:val="00571008"/>
    <w:rsid w:val="0058097E"/>
    <w:rsid w:val="005E4A45"/>
    <w:rsid w:val="005E5A78"/>
    <w:rsid w:val="00616F2A"/>
    <w:rsid w:val="00652D95"/>
    <w:rsid w:val="00666DFB"/>
    <w:rsid w:val="006733BA"/>
    <w:rsid w:val="00687D54"/>
    <w:rsid w:val="006A5796"/>
    <w:rsid w:val="006D152E"/>
    <w:rsid w:val="006D5772"/>
    <w:rsid w:val="006F366A"/>
    <w:rsid w:val="006F5FA3"/>
    <w:rsid w:val="00714D75"/>
    <w:rsid w:val="00716836"/>
    <w:rsid w:val="00720F6B"/>
    <w:rsid w:val="00731B92"/>
    <w:rsid w:val="007579EE"/>
    <w:rsid w:val="0078094A"/>
    <w:rsid w:val="00790F46"/>
    <w:rsid w:val="007A1A68"/>
    <w:rsid w:val="007A35CC"/>
    <w:rsid w:val="007A667D"/>
    <w:rsid w:val="007D3334"/>
    <w:rsid w:val="007E41EA"/>
    <w:rsid w:val="007E5532"/>
    <w:rsid w:val="008004BC"/>
    <w:rsid w:val="008104D2"/>
    <w:rsid w:val="00812F65"/>
    <w:rsid w:val="00824142"/>
    <w:rsid w:val="008265BB"/>
    <w:rsid w:val="00850F78"/>
    <w:rsid w:val="00866D7E"/>
    <w:rsid w:val="00874EE0"/>
    <w:rsid w:val="008769EF"/>
    <w:rsid w:val="008846E7"/>
    <w:rsid w:val="008937D3"/>
    <w:rsid w:val="008D0FA1"/>
    <w:rsid w:val="008F19F7"/>
    <w:rsid w:val="009350F5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3B43"/>
    <w:rsid w:val="00A862DF"/>
    <w:rsid w:val="00B101E8"/>
    <w:rsid w:val="00B11FC6"/>
    <w:rsid w:val="00B35A96"/>
    <w:rsid w:val="00B45D32"/>
    <w:rsid w:val="00B60A8A"/>
    <w:rsid w:val="00B773C4"/>
    <w:rsid w:val="00B864AC"/>
    <w:rsid w:val="00BA2127"/>
    <w:rsid w:val="00BB3A4C"/>
    <w:rsid w:val="00BC6F3E"/>
    <w:rsid w:val="00BD6645"/>
    <w:rsid w:val="00BD7102"/>
    <w:rsid w:val="00BF0D75"/>
    <w:rsid w:val="00C15EEA"/>
    <w:rsid w:val="00C2172E"/>
    <w:rsid w:val="00C858B3"/>
    <w:rsid w:val="00CC0F0F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E7767"/>
    <w:rsid w:val="00DF139D"/>
    <w:rsid w:val="00E60965"/>
    <w:rsid w:val="00E628E5"/>
    <w:rsid w:val="00E71844"/>
    <w:rsid w:val="00EA4D12"/>
    <w:rsid w:val="00EB7B41"/>
    <w:rsid w:val="00EE4022"/>
    <w:rsid w:val="00EE4E59"/>
    <w:rsid w:val="00F068BB"/>
    <w:rsid w:val="00F274CF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15</cp:revision>
  <cp:lastPrinted>2023-11-14T07:32:00Z</cp:lastPrinted>
  <dcterms:created xsi:type="dcterms:W3CDTF">2022-11-08T11:50:00Z</dcterms:created>
  <dcterms:modified xsi:type="dcterms:W3CDTF">2025-07-08T06:23:00Z</dcterms:modified>
</cp:coreProperties>
</file>