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aption"/>
        <w:rPr>
          <w:rFonts w:ascii="Arial" w:hAnsi="Arial"/>
          <w:sz w:val="24"/>
          <w:szCs w:val="24"/>
        </w:rPr>
      </w:pPr>
    </w:p>
    <w:tbl>
      <w:tblPr>
        <w:tblW w:w="924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077"/>
        <w:gridCol w:w="5166"/>
      </w:tblGrid>
      <w:tr>
        <w:tblPrEx>
          <w:shd w:val="clear" w:color="auto" w:fill="ced7e7"/>
        </w:tblPrEx>
        <w:trPr>
          <w:trHeight w:val="2357" w:hRule="atLeast"/>
        </w:trPr>
        <w:tc>
          <w:tcPr>
            <w:tcW w:type="dxa" w:w="924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365f91" w:sz="4" w:space="0" w:shadow="0" w:frame="0"/>
              <w:right w:val="single" w:color="000000" w:sz="4" w:space="0" w:shadow="0" w:frame="0"/>
            </w:tcBorders>
            <w:shd w:val="clear" w:color="auto" w:fill="b8cce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20" w:after="0" w:line="240" w:lineRule="auto"/>
              <w:jc w:val="center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IZVJE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ŠĆ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E O SAVJETOVANJU S JAVNO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ŠĆ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U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U POSTUPKU DONO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ENJA ODLUKE O RASPORE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Đ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IVANJU SREDSTAVA IZ PRORA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pt-PT"/>
              </w:rPr>
              <w:t>UNA OP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Ć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INE DRNJE ZA REDOVITO GODI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NJE FINANCIRANJE POLITI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KIH STRANAKA I NEZAVISNIH VIJE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Ć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NIKA ZASTUPLJENIH U OP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Ć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INSKOM VIJE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Ć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U OP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Ć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de-DE"/>
              </w:rPr>
              <w:t>INE DRNJE ZA RAZDOBLJE OD KONSTITUIRANJA OP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Ć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INSKOG VIJE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Ć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pt-PT"/>
              </w:rPr>
              <w:t>A OP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Ć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INE DRNJE DO 31. PROSINCA 2025.G.</w:t>
            </w:r>
          </w:p>
          <w:p>
            <w:pPr>
              <w:pStyle w:val="Body"/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Nositelj izrade izvje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šć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a: Jedinstveni upravni odjel Op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ć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ine Drnje</w:t>
            </w:r>
          </w:p>
          <w:p>
            <w:pPr>
              <w:pStyle w:val="Body"/>
              <w:bidi w:val="0"/>
              <w:spacing w:after="12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Drnje, 11. kolovoza 2025.</w:t>
            </w:r>
          </w:p>
        </w:tc>
      </w:tr>
      <w:tr>
        <w:tblPrEx>
          <w:shd w:val="clear" w:color="auto" w:fill="ced7e7"/>
        </w:tblPrEx>
        <w:trPr>
          <w:trHeight w:val="1757" w:hRule="atLeast"/>
        </w:trPr>
        <w:tc>
          <w:tcPr>
            <w:tcW w:type="dxa" w:w="4077"/>
            <w:tcBorders>
              <w:top w:val="single" w:color="365f91" w:sz="4" w:space="0" w:shadow="0" w:frame="0"/>
              <w:left w:val="single" w:color="365f91" w:sz="4" w:space="0" w:shadow="0" w:frame="0"/>
              <w:bottom w:val="single" w:color="365f91" w:sz="4" w:space="0" w:shadow="0" w:frame="0"/>
              <w:right w:val="single" w:color="365f9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44" w:after="144" w:line="240" w:lineRule="auto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Naziv akta za koji je provedeno savjetovanje s javno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šć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u </w:t>
            </w:r>
          </w:p>
        </w:tc>
        <w:tc>
          <w:tcPr>
            <w:tcW w:type="dxa" w:w="5166"/>
            <w:tcBorders>
              <w:top w:val="single" w:color="365f91" w:sz="4" w:space="0" w:shadow="0" w:frame="0"/>
              <w:left w:val="single" w:color="365f91" w:sz="4" w:space="0" w:shadow="0" w:frame="0"/>
              <w:bottom w:val="single" w:color="365f91" w:sz="4" w:space="0" w:shadow="0" w:frame="0"/>
              <w:right w:val="single" w:color="365f9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both"/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 xml:space="preserve">Nacrt Odluke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o 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raspore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đ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ivanju sredstava iz Prora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una Op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ć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ine Drnje za redovito godi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nje financiranje politi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kih stranaka i nezavisnih vije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ć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nika zastupljenih u Op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ć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inskom vije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ć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u Op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ć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ine Drnje za razdoblje od konstituiranja Op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ć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inskog vije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ć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nl-NL"/>
              </w:rPr>
              <w:t>a Op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ć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ine Drnje do 31. prosinca 2025.g.</w:t>
            </w:r>
          </w:p>
        </w:tc>
      </w:tr>
      <w:tr>
        <w:tblPrEx>
          <w:shd w:val="clear" w:color="auto" w:fill="ced7e7"/>
        </w:tblPrEx>
        <w:trPr>
          <w:trHeight w:val="681" w:hRule="atLeast"/>
        </w:trPr>
        <w:tc>
          <w:tcPr>
            <w:tcW w:type="dxa" w:w="4077"/>
            <w:tcBorders>
              <w:top w:val="single" w:color="365f91" w:sz="4" w:space="0" w:shadow="0" w:frame="0"/>
              <w:left w:val="single" w:color="365f91" w:sz="4" w:space="0" w:shadow="0" w:frame="0"/>
              <w:bottom w:val="single" w:color="365f91" w:sz="4" w:space="0" w:shadow="0" w:frame="0"/>
              <w:right w:val="single" w:color="365f9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44" w:after="144" w:line="240" w:lineRule="auto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Naziv tijela nadle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ž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nog za izradu nacrta / provedbu savjetovanja </w:t>
            </w:r>
          </w:p>
        </w:tc>
        <w:tc>
          <w:tcPr>
            <w:tcW w:type="dxa" w:w="5166"/>
            <w:tcBorders>
              <w:top w:val="single" w:color="365f91" w:sz="4" w:space="0" w:shadow="0" w:frame="0"/>
              <w:left w:val="single" w:color="365f91" w:sz="4" w:space="0" w:shadow="0" w:frame="0"/>
              <w:bottom w:val="single" w:color="365f91" w:sz="4" w:space="0" w:shadow="0" w:frame="0"/>
              <w:right w:val="single" w:color="365f9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44" w:after="144" w:line="240" w:lineRule="auto"/>
              <w:jc w:val="both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Jedinstveni upravni odjel</w:t>
            </w:r>
          </w:p>
        </w:tc>
      </w:tr>
      <w:tr>
        <w:tblPrEx>
          <w:shd w:val="clear" w:color="auto" w:fill="ced7e7"/>
        </w:tblPrEx>
        <w:trPr>
          <w:trHeight w:val="6462" w:hRule="atLeast"/>
        </w:trPr>
        <w:tc>
          <w:tcPr>
            <w:tcW w:type="dxa" w:w="4077"/>
            <w:tcBorders>
              <w:top w:val="single" w:color="365f91" w:sz="4" w:space="0" w:shadow="0" w:frame="0"/>
              <w:left w:val="single" w:color="365f91" w:sz="4" w:space="0" w:shadow="0" w:frame="0"/>
              <w:bottom w:val="single" w:color="000000" w:sz="4" w:space="0" w:shadow="0" w:frame="0"/>
              <w:right w:val="single" w:color="365f9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44" w:after="144" w:line="240" w:lineRule="auto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Razlozi za dono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š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enje akta i ciljevi koji se njime 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ž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ele posti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ć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i uz sa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ž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etak klju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č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nih pitanja</w:t>
            </w:r>
          </w:p>
        </w:tc>
        <w:tc>
          <w:tcPr>
            <w:tcW w:type="dxa" w:w="5166"/>
            <w:tcBorders>
              <w:top w:val="single" w:color="365f91" w:sz="4" w:space="0" w:shadow="0" w:frame="0"/>
              <w:left w:val="single" w:color="365f91" w:sz="4" w:space="0" w:shadow="0" w:frame="0"/>
              <w:bottom w:val="single" w:color="365f91" w:sz="4" w:space="0" w:shadow="0" w:frame="0"/>
              <w:right w:val="single" w:color="365f9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</w:rPr>
              <w:t>Zakonom o financiranju politi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kih aktivnosti, izborne promid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ž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be i referenduma (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„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Narodne novine</w:t>
            </w:r>
            <w:r>
              <w:rPr>
                <w:sz w:val="24"/>
                <w:szCs w:val="24"/>
                <w:shd w:val="nil" w:color="auto" w:fill="auto"/>
                <w:rtl w:val="0"/>
                <w:lang w:val="de-DE"/>
              </w:rPr>
              <w:t xml:space="preserve">“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broj 29/19. i 98/19) (u daljnjem tekstu: Zakon) propisana je obveza jedinica lokalne samouprave da u svojim prora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unima osiguraju financijska sredstva za redovito godi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nje financiranje politi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kih stranaka i nezavisnih vije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ć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nika.  </w:t>
            </w:r>
          </w:p>
          <w:p>
            <w:pPr>
              <w:pStyle w:val="Body"/>
              <w:bidi w:val="0"/>
              <w:ind w:left="0" w:right="0" w:firstLine="0"/>
              <w:jc w:val="both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</w:rPr>
              <w:t>Prora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unom Op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ć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ine Drnje za 2025. godinu za redovito godi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nje financiranje politi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kih stranaka i nezavisnih vije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ć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nika planirano je 690,14 eura.</w:t>
            </w:r>
          </w:p>
          <w:p>
            <w:pPr>
              <w:pStyle w:val="Body"/>
              <w:widowControl w:val="0"/>
              <w:bidi w:val="0"/>
              <w:spacing w:before="1"/>
              <w:ind w:left="2" w:right="274" w:firstLine="0"/>
              <w:jc w:val="both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</w:rPr>
              <w:t>Temeljem osiguranih financijskih sredstava, op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ć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inski na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elnik predla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ž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e dono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enje </w:t>
            </w:r>
            <w:r>
              <w:rPr>
                <w:shd w:val="nil" w:color="auto" w:fill="auto"/>
                <w:rtl w:val="0"/>
              </w:rPr>
              <w:t>Odluke o raspore</w:t>
            </w:r>
            <w:r>
              <w:rPr>
                <w:shd w:val="nil" w:color="auto" w:fill="auto"/>
                <w:rtl w:val="0"/>
              </w:rPr>
              <w:t>đ</w:t>
            </w:r>
            <w:r>
              <w:rPr>
                <w:shd w:val="nil" w:color="auto" w:fill="auto"/>
                <w:rtl w:val="0"/>
              </w:rPr>
              <w:t>ivanju sredstava iz Prora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  <w:lang w:val="it-IT"/>
              </w:rPr>
              <w:t>una Op</w:t>
            </w:r>
            <w:r>
              <w:rPr>
                <w:shd w:val="nil" w:color="auto" w:fill="auto"/>
                <w:rtl w:val="0"/>
              </w:rPr>
              <w:t>ć</w:t>
            </w:r>
            <w:r>
              <w:rPr>
                <w:shd w:val="nil" w:color="auto" w:fill="auto"/>
                <w:rtl w:val="0"/>
              </w:rPr>
              <w:t>ine Drnje za redovito godi</w:t>
            </w:r>
            <w:r>
              <w:rPr>
                <w:shd w:val="nil" w:color="auto" w:fill="auto"/>
                <w:rtl w:val="0"/>
              </w:rPr>
              <w:t>š</w:t>
            </w:r>
            <w:r>
              <w:rPr>
                <w:shd w:val="nil" w:color="auto" w:fill="auto"/>
                <w:rtl w:val="0"/>
              </w:rPr>
              <w:t>nje financiranje politi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>kih stranaka i nezavisnih vije</w:t>
            </w:r>
            <w:r>
              <w:rPr>
                <w:shd w:val="nil" w:color="auto" w:fill="auto"/>
                <w:rtl w:val="0"/>
              </w:rPr>
              <w:t>ć</w:t>
            </w:r>
            <w:r>
              <w:rPr>
                <w:shd w:val="nil" w:color="auto" w:fill="auto"/>
                <w:rtl w:val="0"/>
              </w:rPr>
              <w:t>nika zastupljenih u Op</w:t>
            </w:r>
            <w:r>
              <w:rPr>
                <w:shd w:val="nil" w:color="auto" w:fill="auto"/>
                <w:rtl w:val="0"/>
              </w:rPr>
              <w:t>ć</w:t>
            </w:r>
            <w:r>
              <w:rPr>
                <w:shd w:val="nil" w:color="auto" w:fill="auto"/>
                <w:rtl w:val="0"/>
              </w:rPr>
              <w:t>inskom vije</w:t>
            </w:r>
            <w:r>
              <w:rPr>
                <w:shd w:val="nil" w:color="auto" w:fill="auto"/>
                <w:rtl w:val="0"/>
              </w:rPr>
              <w:t>ć</w:t>
            </w:r>
            <w:r>
              <w:rPr>
                <w:shd w:val="nil" w:color="auto" w:fill="auto"/>
                <w:rtl w:val="0"/>
              </w:rPr>
              <w:t>u Op</w:t>
            </w:r>
            <w:r>
              <w:rPr>
                <w:shd w:val="nil" w:color="auto" w:fill="auto"/>
                <w:rtl w:val="0"/>
              </w:rPr>
              <w:t>ć</w:t>
            </w:r>
            <w:r>
              <w:rPr>
                <w:shd w:val="nil" w:color="auto" w:fill="auto"/>
                <w:rtl w:val="0"/>
              </w:rPr>
              <w:t>ine Drnje za razdoblje od konstituiranja Op</w:t>
            </w:r>
            <w:r>
              <w:rPr>
                <w:shd w:val="nil" w:color="auto" w:fill="auto"/>
                <w:rtl w:val="0"/>
              </w:rPr>
              <w:t>ć</w:t>
            </w:r>
            <w:r>
              <w:rPr>
                <w:shd w:val="nil" w:color="auto" w:fill="auto"/>
                <w:rtl w:val="0"/>
              </w:rPr>
              <w:t>inskog vije</w:t>
            </w:r>
            <w:r>
              <w:rPr>
                <w:shd w:val="nil" w:color="auto" w:fill="auto"/>
                <w:rtl w:val="0"/>
              </w:rPr>
              <w:t>ć</w:t>
            </w:r>
            <w:r>
              <w:rPr>
                <w:shd w:val="nil" w:color="auto" w:fill="auto"/>
                <w:rtl w:val="0"/>
                <w:lang w:val="nl-NL"/>
              </w:rPr>
              <w:t>a Op</w:t>
            </w:r>
            <w:r>
              <w:rPr>
                <w:shd w:val="nil" w:color="auto" w:fill="auto"/>
                <w:rtl w:val="0"/>
              </w:rPr>
              <w:t>ć</w:t>
            </w:r>
            <w:r>
              <w:rPr>
                <w:shd w:val="nil" w:color="auto" w:fill="auto"/>
                <w:rtl w:val="0"/>
              </w:rPr>
              <w:t>ine Drnje do 31. prosinca 2025.g.</w:t>
            </w:r>
          </w:p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4077"/>
            <w:tcBorders>
              <w:top w:val="single" w:color="000000" w:sz="4" w:space="0" w:shadow="0" w:frame="0"/>
              <w:left w:val="single" w:color="365f91" w:sz="4" w:space="0" w:shadow="0" w:frame="0"/>
              <w:bottom w:val="single" w:color="000000" w:sz="4" w:space="0" w:shadow="0" w:frame="0"/>
              <w:right w:val="single" w:color="365f9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44" w:after="144" w:line="240" w:lineRule="auto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Objava dokumenata za savjetovanje </w:t>
            </w:r>
          </w:p>
        </w:tc>
        <w:tc>
          <w:tcPr>
            <w:tcW w:type="dxa" w:w="5166"/>
            <w:tcBorders>
              <w:top w:val="single" w:color="365f91" w:sz="4" w:space="0" w:shadow="0" w:frame="0"/>
              <w:left w:val="single" w:color="365f91" w:sz="4" w:space="0" w:shadow="0" w:frame="0"/>
              <w:bottom w:val="single" w:color="365f91" w:sz="4" w:space="0" w:shadow="0" w:frame="0"/>
              <w:right w:val="single" w:color="365f9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44" w:after="144" w:line="240" w:lineRule="auto"/>
            </w:pPr>
            <w:r>
              <w:rPr>
                <w:rStyle w:val="Hyperlink.0"/>
                <w:sz w:val="24"/>
                <w:szCs w:val="24"/>
              </w:rPr>
              <w:fldChar w:fldCharType="begin" w:fldLock="0"/>
            </w:r>
            <w:r>
              <w:rPr>
                <w:rStyle w:val="Hyperlink.0"/>
                <w:sz w:val="24"/>
                <w:szCs w:val="24"/>
              </w:rPr>
              <w:instrText xml:space="preserve"> HYPERLINK "https://drnje.hr/pravo-na-pristup-informacijama/savjetovanje-sa-zainteresiranom-javnoscu/"</w:instrText>
            </w:r>
            <w:r>
              <w:rPr>
                <w:rStyle w:val="Hyperlink.0"/>
                <w:sz w:val="24"/>
                <w:szCs w:val="24"/>
              </w:rPr>
              <w:fldChar w:fldCharType="separate" w:fldLock="0"/>
            </w:r>
            <w:r>
              <w:rPr>
                <w:rStyle w:val="Hyperlink.0"/>
                <w:sz w:val="24"/>
                <w:szCs w:val="24"/>
                <w:rtl w:val="0"/>
              </w:rPr>
              <w:t>https://drnje.hr/pravo-na-pristup-informacijama/savjetovanje-sa-zainteresiranom-javnoscu/</w:t>
            </w:r>
            <w:r>
              <w:rPr>
                <w:sz w:val="24"/>
                <w:szCs w:val="24"/>
              </w:rPr>
              <w:fldChar w:fldCharType="end" w:fldLock="0"/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923" w:hRule="atLeast"/>
        </w:trPr>
        <w:tc>
          <w:tcPr>
            <w:tcW w:type="dxa" w:w="4077"/>
            <w:tcBorders>
              <w:top w:val="single" w:color="000000" w:sz="4" w:space="0" w:shadow="0" w:frame="0"/>
              <w:left w:val="single" w:color="365f91" w:sz="4" w:space="0" w:shadow="0" w:frame="0"/>
              <w:bottom w:val="single" w:color="365f91" w:sz="4" w:space="0" w:shadow="0" w:frame="0"/>
              <w:right w:val="single" w:color="365f9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44" w:after="144" w:line="240" w:lineRule="auto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Razdoblje provedbe savjetovanja </w:t>
            </w:r>
          </w:p>
        </w:tc>
        <w:tc>
          <w:tcPr>
            <w:tcW w:type="dxa" w:w="5166"/>
            <w:tcBorders>
              <w:top w:val="single" w:color="365f91" w:sz="4" w:space="0" w:shadow="0" w:frame="0"/>
              <w:left w:val="single" w:color="365f91" w:sz="4" w:space="0" w:shadow="0" w:frame="0"/>
              <w:bottom w:val="single" w:color="365f91" w:sz="4" w:space="0" w:shadow="0" w:frame="0"/>
              <w:right w:val="single" w:color="365f9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44" w:after="144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 xml:space="preserve">08. srpnja 2025.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–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06. kolovoza 2025. godine</w:t>
            </w:r>
          </w:p>
        </w:tc>
      </w:tr>
      <w:tr>
        <w:tblPrEx>
          <w:shd w:val="clear" w:color="auto" w:fill="ced7e7"/>
        </w:tblPrEx>
        <w:trPr>
          <w:trHeight w:val="2357" w:hRule="atLeast"/>
        </w:trPr>
        <w:tc>
          <w:tcPr>
            <w:tcW w:type="dxa" w:w="4077"/>
            <w:tcBorders>
              <w:top w:val="single" w:color="365f91" w:sz="4" w:space="0" w:shadow="0" w:frame="0"/>
              <w:left w:val="single" w:color="365f91" w:sz="4" w:space="0" w:shadow="0" w:frame="0"/>
              <w:bottom w:val="single" w:color="365f91" w:sz="4" w:space="0" w:shadow="0" w:frame="0"/>
              <w:right w:val="single" w:color="365f9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44" w:after="144" w:line="240" w:lineRule="auto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Pregled osnovnih pokazatelja  uklju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č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enosti savjetovanja s javno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šć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u </w:t>
            </w:r>
          </w:p>
        </w:tc>
        <w:tc>
          <w:tcPr>
            <w:tcW w:type="dxa" w:w="5166"/>
            <w:tcBorders>
              <w:top w:val="single" w:color="365f91" w:sz="4" w:space="0" w:shadow="0" w:frame="0"/>
              <w:left w:val="single" w:color="365f91" w:sz="4" w:space="0" w:shadow="0" w:frame="0"/>
              <w:bottom w:val="single" w:color="365f91" w:sz="4" w:space="0" w:shadow="0" w:frame="0"/>
              <w:right w:val="single" w:color="365f9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44" w:after="144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Tijekom internetsko javnog savjetovanja nismo zaprimili nijedno o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itovanje na Nacrt Odluke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o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raspore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đ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ivanju sredstava iz Prora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una Op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ć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ine Drnje za redovito godi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nje financiranje politi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kih stranaka i nezavisnih vije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ć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nika zastupljenih u Op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ć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inskom vije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ć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u Op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ć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ine Drnje za razdoblje od konstituiranja Op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ć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inskog vije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ć</w:t>
            </w:r>
            <w:r>
              <w:rPr>
                <w:sz w:val="24"/>
                <w:szCs w:val="24"/>
                <w:shd w:val="nil" w:color="auto" w:fill="auto"/>
                <w:rtl w:val="0"/>
                <w:lang w:val="nl-NL"/>
              </w:rPr>
              <w:t>a Op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ć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ine Drnje do 31. prosinca 2025.g.</w:t>
            </w:r>
          </w:p>
        </w:tc>
      </w:tr>
      <w:tr>
        <w:tblPrEx>
          <w:shd w:val="clear" w:color="auto" w:fill="ced7e7"/>
        </w:tblPrEx>
        <w:trPr>
          <w:trHeight w:val="663" w:hRule="atLeast"/>
        </w:trPr>
        <w:tc>
          <w:tcPr>
            <w:tcW w:type="dxa" w:w="4077"/>
            <w:tcBorders>
              <w:top w:val="single" w:color="365f91" w:sz="4" w:space="0" w:shadow="0" w:frame="0"/>
              <w:left w:val="single" w:color="365f91" w:sz="4" w:space="0" w:shadow="0" w:frame="0"/>
              <w:bottom w:val="single" w:color="365f91" w:sz="4" w:space="0" w:shadow="0" w:frame="0"/>
              <w:right w:val="single" w:color="365f9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44" w:after="144" w:line="240" w:lineRule="auto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Pregled prihva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ć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enih i neprihva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ć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enih mi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š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ljenja i prijedloga s obrazlo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ž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enjem razloga za neprihva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ć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anje </w:t>
            </w:r>
          </w:p>
        </w:tc>
        <w:tc>
          <w:tcPr>
            <w:tcW w:type="dxa" w:w="5166"/>
            <w:tcBorders>
              <w:top w:val="single" w:color="365f91" w:sz="4" w:space="0" w:shadow="0" w:frame="0"/>
              <w:left w:val="single" w:color="365f91" w:sz="4" w:space="0" w:shadow="0" w:frame="0"/>
              <w:bottom w:val="single" w:color="365f91" w:sz="4" w:space="0" w:shadow="0" w:frame="0"/>
              <w:right w:val="single" w:color="365f9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44" w:after="144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/</w:t>
            </w:r>
          </w:p>
        </w:tc>
      </w:tr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4077"/>
            <w:tcBorders>
              <w:top w:val="single" w:color="365f91" w:sz="4" w:space="0" w:shadow="0" w:frame="0"/>
              <w:left w:val="single" w:color="365f91" w:sz="4" w:space="0" w:shadow="0" w:frame="0"/>
              <w:bottom w:val="single" w:color="365f91" w:sz="4" w:space="0" w:shadow="0" w:frame="0"/>
              <w:right w:val="single" w:color="365f9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44" w:after="144" w:line="240" w:lineRule="auto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Ostali oblici savjetovanja s javno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šć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u </w:t>
            </w:r>
          </w:p>
        </w:tc>
        <w:tc>
          <w:tcPr>
            <w:tcW w:type="dxa" w:w="5166"/>
            <w:tcBorders>
              <w:top w:val="single" w:color="365f91" w:sz="4" w:space="0" w:shadow="0" w:frame="0"/>
              <w:left w:val="single" w:color="365f91" w:sz="4" w:space="0" w:shadow="0" w:frame="0"/>
              <w:bottom w:val="single" w:color="365f91" w:sz="4" w:space="0" w:shadow="0" w:frame="0"/>
              <w:right w:val="single" w:color="365f9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44" w:after="144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/</w:t>
            </w:r>
          </w:p>
        </w:tc>
      </w:tr>
      <w:tr>
        <w:tblPrEx>
          <w:shd w:val="clear" w:color="auto" w:fill="ced7e7"/>
        </w:tblPrEx>
        <w:trPr>
          <w:trHeight w:val="627" w:hRule="atLeast"/>
        </w:trPr>
        <w:tc>
          <w:tcPr>
            <w:tcW w:type="dxa" w:w="4077"/>
            <w:tcBorders>
              <w:top w:val="single" w:color="365f91" w:sz="4" w:space="0" w:shadow="0" w:frame="0"/>
              <w:left w:val="single" w:color="365f91" w:sz="4" w:space="0" w:shadow="0" w:frame="0"/>
              <w:bottom w:val="single" w:color="365f91" w:sz="4" w:space="0" w:shadow="0" w:frame="0"/>
              <w:right w:val="single" w:color="365f9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44" w:after="144" w:line="240" w:lineRule="auto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Tro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š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kovi provedenog savjetovanja</w:t>
            </w:r>
          </w:p>
        </w:tc>
        <w:tc>
          <w:tcPr>
            <w:tcW w:type="dxa" w:w="5166"/>
            <w:tcBorders>
              <w:top w:val="single" w:color="365f91" w:sz="4" w:space="0" w:shadow="0" w:frame="0"/>
              <w:left w:val="single" w:color="365f91" w:sz="4" w:space="0" w:shadow="0" w:frame="0"/>
              <w:bottom w:val="single" w:color="365f91" w:sz="4" w:space="0" w:shadow="0" w:frame="0"/>
              <w:right w:val="single" w:color="365f9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44" w:after="144" w:line="240" w:lineRule="auto"/>
              <w:jc w:val="both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Provedba internetskog  savjetovanja nije iskazivala dodatne financijske tro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kove.</w:t>
            </w:r>
          </w:p>
        </w:tc>
      </w:tr>
      <w:tr>
        <w:tblPrEx>
          <w:shd w:val="clear" w:color="auto" w:fill="ced7e7"/>
        </w:tblPrEx>
        <w:trPr>
          <w:trHeight w:val="627" w:hRule="atLeast"/>
        </w:trPr>
        <w:tc>
          <w:tcPr>
            <w:tcW w:type="dxa" w:w="4077"/>
            <w:tcBorders>
              <w:top w:val="single" w:color="365f91" w:sz="4" w:space="0" w:shadow="0" w:frame="0"/>
              <w:left w:val="single" w:color="365f91" w:sz="4" w:space="0" w:shadow="0" w:frame="0"/>
              <w:bottom w:val="single" w:color="365f91" w:sz="4" w:space="0" w:shadow="0" w:frame="0"/>
              <w:right w:val="single" w:color="365f9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44" w:after="144" w:line="240" w:lineRule="auto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Izvje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šć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e o provedenom savjetovanju izradila</w:t>
            </w:r>
          </w:p>
        </w:tc>
        <w:tc>
          <w:tcPr>
            <w:tcW w:type="dxa" w:w="5166"/>
            <w:tcBorders>
              <w:top w:val="single" w:color="365f91" w:sz="4" w:space="0" w:shadow="0" w:frame="0"/>
              <w:left w:val="single" w:color="365f91" w:sz="4" w:space="0" w:shadow="0" w:frame="0"/>
              <w:bottom w:val="single" w:color="365f91" w:sz="4" w:space="0" w:shadow="0" w:frame="0"/>
              <w:right w:val="single" w:color="365f9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44" w:after="144" w:line="240" w:lineRule="auto"/>
              <w:jc w:val="both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Nata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a Ti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leri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ć</w:t>
            </w:r>
          </w:p>
        </w:tc>
      </w:tr>
    </w:tbl>
    <w:p>
      <w:pPr>
        <w:pStyle w:val="caption"/>
        <w:widowControl w:val="0"/>
        <w:spacing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KLASA:013-02/25-01/07</w:t>
      </w: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</w:rPr>
        <w:t>URBROJ:2137-4-25-2</w:t>
      </w:r>
    </w:p>
    <w:p>
      <w:pPr>
        <w:pStyle w:val="Body"/>
        <w:spacing w:after="0" w:line="240" w:lineRule="auto"/>
      </w:pPr>
      <w:r>
        <w:rPr>
          <w:rFonts w:ascii="Arial" w:hAnsi="Arial"/>
          <w:b w:val="1"/>
          <w:bCs w:val="1"/>
          <w:sz w:val="20"/>
          <w:szCs w:val="20"/>
          <w:rtl w:val="0"/>
        </w:rPr>
        <w:t>Drnje, 11. kolovoza 2025.</w:t>
      </w:r>
    </w:p>
    <w:sectPr>
      <w:headerReference w:type="default" r:id="rId4"/>
      <w:footerReference w:type="default" r:id="rId5"/>
      <w:pgSz w:w="11900" w:h="16840" w:orient="portrait"/>
      <w:pgMar w:top="1418" w:right="1418" w:bottom="1418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aption">
    <w:name w:val="caption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Calibri" w:cs="Calibri" w:hAnsi="Calibri" w:eastAsia="Calibri"/>
      <w:shd w:val="nil" w:color="auto" w:fill="auto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