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7E93" w14:textId="5CD7D92E" w:rsidR="005B0986" w:rsidRPr="00E96086" w:rsidRDefault="005B0986" w:rsidP="00B5538A">
      <w:pPr>
        <w:pStyle w:val="Caption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6"/>
        <w:gridCol w:w="5074"/>
      </w:tblGrid>
      <w:tr w:rsidR="005B0986" w:rsidRPr="00B5538A" w14:paraId="26EE7B2F" w14:textId="77777777" w:rsidTr="00941D1C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3915421" w14:textId="77777777" w:rsidR="005B0986" w:rsidRPr="00B5538A" w:rsidRDefault="005B0986" w:rsidP="00E96086">
            <w:pPr>
              <w:spacing w:before="120"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>IZVJEŠĆE O SAVJETOVANJU S JAVNOŠĆU</w:t>
            </w:r>
          </w:p>
          <w:p w14:paraId="17579B8A" w14:textId="3D1C2F95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>U POSTUPKU DONOŠENJA</w:t>
            </w:r>
            <w:r w:rsidR="001A6FF9" w:rsidRPr="001A6FF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26382">
              <w:rPr>
                <w:rFonts w:cstheme="minorHAnsi"/>
                <w:b/>
                <w:sz w:val="24"/>
                <w:szCs w:val="24"/>
              </w:rPr>
              <w:t>PROGRAMA MJERA ZA POTICANBJE RJEŠAVANJA STAMBENOG PITANJA MLADIH OSOBA NA PODRUČJU OPĆINE DRNJE</w:t>
            </w:r>
          </w:p>
          <w:p w14:paraId="16F6A96B" w14:textId="6CD23BD4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Nositelj izrade izvješća: </w:t>
            </w:r>
            <w:r w:rsidR="007D0FE0" w:rsidRPr="00B5538A">
              <w:rPr>
                <w:rFonts w:cstheme="minorHAnsi"/>
                <w:b/>
                <w:bCs/>
                <w:sz w:val="24"/>
                <w:szCs w:val="24"/>
              </w:rPr>
              <w:t xml:space="preserve">Jedinstveni upravni odjel Općine </w:t>
            </w:r>
            <w:proofErr w:type="spellStart"/>
            <w:r w:rsidR="007D0FE0" w:rsidRPr="00B5538A">
              <w:rPr>
                <w:rFonts w:cstheme="minorHAnsi"/>
                <w:b/>
                <w:bCs/>
                <w:sz w:val="24"/>
                <w:szCs w:val="24"/>
              </w:rPr>
              <w:t>Drnje</w:t>
            </w:r>
            <w:proofErr w:type="spellEnd"/>
          </w:p>
          <w:p w14:paraId="73E4ADDA" w14:textId="29A94EA8" w:rsidR="005B0986" w:rsidRPr="00B5538A" w:rsidRDefault="007D0FE0" w:rsidP="00E96086">
            <w:pPr>
              <w:spacing w:after="12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B5538A">
              <w:rPr>
                <w:rFonts w:cstheme="minorHAnsi"/>
                <w:b/>
                <w:bCs/>
                <w:sz w:val="24"/>
                <w:szCs w:val="24"/>
              </w:rPr>
              <w:t>Drnje</w:t>
            </w:r>
            <w:proofErr w:type="spellEnd"/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r w:rsidR="00724B34">
              <w:rPr>
                <w:rFonts w:cstheme="minorHAnsi"/>
                <w:b/>
                <w:bCs/>
                <w:sz w:val="24"/>
                <w:szCs w:val="24"/>
              </w:rPr>
              <w:t>18</w:t>
            </w: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r w:rsidR="00724B34">
              <w:rPr>
                <w:rFonts w:cstheme="minorHAnsi"/>
                <w:b/>
                <w:bCs/>
                <w:sz w:val="24"/>
                <w:szCs w:val="24"/>
              </w:rPr>
              <w:t>svibnja</w:t>
            </w: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 202</w:t>
            </w:r>
            <w:r w:rsidR="00F25076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B5538A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</w:tr>
      <w:tr w:rsidR="005B0986" w:rsidRPr="00B5538A" w14:paraId="42ACF8A7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87EA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91EEE68" w14:textId="08494FAA" w:rsidR="005B0986" w:rsidRPr="001A6FF9" w:rsidRDefault="001A6FF9" w:rsidP="001A6FF9">
            <w:pPr>
              <w:spacing w:after="0"/>
              <w:jc w:val="both"/>
              <w:rPr>
                <w:rFonts w:cstheme="minorHAnsi"/>
                <w:bCs/>
              </w:rPr>
            </w:pPr>
            <w:r w:rsidRPr="001A6FF9">
              <w:rPr>
                <w:rFonts w:cstheme="minorHAnsi"/>
                <w:bCs/>
              </w:rPr>
              <w:t>Nacrt</w:t>
            </w:r>
            <w:r>
              <w:rPr>
                <w:rFonts w:cstheme="minorHAnsi"/>
                <w:bCs/>
              </w:rPr>
              <w:t xml:space="preserve"> </w:t>
            </w:r>
            <w:r w:rsidR="004A21A6">
              <w:rPr>
                <w:rFonts w:cstheme="minorHAnsi"/>
                <w:bCs/>
              </w:rPr>
              <w:t xml:space="preserve">Programa mjera za poticanje rješavanja stambenog pitanja mladih osoba na području Općine </w:t>
            </w:r>
            <w:proofErr w:type="spellStart"/>
            <w:r w:rsidR="004A21A6">
              <w:rPr>
                <w:rFonts w:cstheme="minorHAnsi"/>
                <w:bCs/>
              </w:rPr>
              <w:t>Drnje</w:t>
            </w:r>
            <w:proofErr w:type="spellEnd"/>
          </w:p>
        </w:tc>
      </w:tr>
      <w:tr w:rsidR="005B0986" w:rsidRPr="00B5538A" w14:paraId="32B68336" w14:textId="77777777" w:rsidTr="00E96086">
        <w:trPr>
          <w:trHeight w:val="831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9949F2" w14:textId="61DD2D1F" w:rsidR="005B0986" w:rsidRPr="003A2A57" w:rsidRDefault="007D0FE0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bCs/>
                <w:sz w:val="20"/>
                <w:szCs w:val="20"/>
              </w:rPr>
              <w:t>Jedinstveni upravni odjel</w:t>
            </w:r>
          </w:p>
        </w:tc>
      </w:tr>
      <w:tr w:rsidR="003D1972" w:rsidRPr="00B5538A" w14:paraId="66B0CA38" w14:textId="77777777" w:rsidTr="00B5538A">
        <w:trPr>
          <w:trHeight w:val="3596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ED479BC" w14:textId="77777777" w:rsidR="003D1972" w:rsidRPr="00E96086" w:rsidRDefault="003D1972" w:rsidP="003D1972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D616930" w14:textId="77777777" w:rsidR="004A21A6" w:rsidRDefault="004A21A6" w:rsidP="004A21A6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U cilju poticanja ostanka mladih obitelji, doseljavanja novih stanovnika te trajno rješavanje stambenog pitanje predlaže se </w:t>
            </w:r>
            <w:r w:rsidRPr="006520AE">
              <w:rPr>
                <w:rFonts w:cstheme="minorHAnsi"/>
                <w:bCs/>
              </w:rPr>
              <w:t>Nacrt</w:t>
            </w:r>
            <w:r>
              <w:rPr>
                <w:rFonts w:cstheme="minorHAnsi"/>
                <w:bCs/>
              </w:rPr>
              <w:t xml:space="preserve"> </w:t>
            </w:r>
            <w:r w:rsidRPr="006520AE">
              <w:rPr>
                <w:rFonts w:cstheme="minorHAnsi"/>
                <w:bCs/>
              </w:rPr>
              <w:t xml:space="preserve">Programa mjera za poticanje rješavanja stambenog pitanja mladih osoba na području Općine </w:t>
            </w:r>
            <w:proofErr w:type="spellStart"/>
            <w:r w:rsidRPr="006520AE">
              <w:rPr>
                <w:rFonts w:cstheme="minorHAnsi"/>
                <w:bCs/>
              </w:rPr>
              <w:t>Drnje</w:t>
            </w:r>
            <w:proofErr w:type="spellEnd"/>
            <w:r>
              <w:rPr>
                <w:rFonts w:cstheme="minorHAnsi"/>
                <w:bCs/>
              </w:rPr>
              <w:t xml:space="preserve">. </w:t>
            </w:r>
          </w:p>
          <w:p w14:paraId="4D0D410F" w14:textId="77777777" w:rsidR="004A21A6" w:rsidRDefault="004A21A6" w:rsidP="004A21A6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Sufinancira se kupnja i izgradnja kuće te rekonstrukcija postojećih stambenih objekata.</w:t>
            </w:r>
          </w:p>
          <w:p w14:paraId="1085C893" w14:textId="77777777" w:rsidR="004A21A6" w:rsidRDefault="004A21A6" w:rsidP="004A21A6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Poseban interes Općine je kupnja i rekonstrukcija zapuštenih i dugotrajno neiskorištenih stambenih objekata. </w:t>
            </w:r>
          </w:p>
          <w:p w14:paraId="776C66FF" w14:textId="77777777" w:rsidR="004A21A6" w:rsidRDefault="004A21A6" w:rsidP="004A21A6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Postojeće nekretnine za koje se traži potpora moraju biti zakonito izgrađene (građevinska dozvola ili rješenje o izvedenom stanju).</w:t>
            </w:r>
          </w:p>
          <w:p w14:paraId="584EEB96" w14:textId="14B83C4D" w:rsidR="003D1972" w:rsidRPr="00F25076" w:rsidRDefault="004A21A6" w:rsidP="004A21A6">
            <w:pPr>
              <w:suppressAutoHyphens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theme="minorHAnsi"/>
                <w:bCs/>
              </w:rPr>
              <w:t xml:space="preserve">U proračunu Općine </w:t>
            </w:r>
            <w:proofErr w:type="spellStart"/>
            <w:r>
              <w:rPr>
                <w:rFonts w:cstheme="minorHAnsi"/>
                <w:bCs/>
              </w:rPr>
              <w:t>Drnje</w:t>
            </w:r>
            <w:proofErr w:type="spellEnd"/>
            <w:r>
              <w:rPr>
                <w:rFonts w:cstheme="minorHAnsi"/>
                <w:bCs/>
              </w:rPr>
              <w:t xml:space="preserve"> osigurano je 60.000,00 eura za Program mjera za poticanje rješavanje stambenog pitanja mladih osoba na području Općine </w:t>
            </w:r>
            <w:proofErr w:type="spellStart"/>
            <w:r>
              <w:rPr>
                <w:rFonts w:cstheme="minorHAnsi"/>
                <w:bCs/>
              </w:rPr>
              <w:t>Drnje</w:t>
            </w:r>
            <w:proofErr w:type="spellEnd"/>
            <w:r>
              <w:rPr>
                <w:rFonts w:cstheme="minorHAnsi"/>
                <w:bCs/>
              </w:rPr>
              <w:t>.</w:t>
            </w:r>
          </w:p>
        </w:tc>
      </w:tr>
      <w:tr w:rsidR="003D1972" w:rsidRPr="00B5538A" w14:paraId="366C5695" w14:textId="77777777" w:rsidTr="00E96086">
        <w:trPr>
          <w:trHeight w:val="525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4C3AA4D" w14:textId="6333B4F2" w:rsidR="003D1972" w:rsidRPr="00E96086" w:rsidRDefault="003D1972" w:rsidP="003D1972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Objava dokumenata za savjetovanje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6055A77" w14:textId="3E323EA3" w:rsidR="003D1972" w:rsidRPr="003A2A57" w:rsidRDefault="003D1972" w:rsidP="003D1972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hyperlink r:id="rId7" w:history="1">
              <w:r w:rsidRPr="003A2A5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https://drnje.hr/pravo-na-pristup-informacijama/savjetovanje-sa-zainteresiranom-javnoscu/</w:t>
              </w:r>
            </w:hyperlink>
            <w:r w:rsidRPr="003A2A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D1972" w:rsidRPr="00B5538A" w14:paraId="05945D96" w14:textId="77777777" w:rsidTr="00E96086">
        <w:trPr>
          <w:trHeight w:val="1073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425350" w14:textId="51B18C3E" w:rsidR="003D1972" w:rsidRPr="00E96086" w:rsidRDefault="003D1972" w:rsidP="003D1972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3990DDA9" w14:textId="637EA3D7" w:rsidR="003D1972" w:rsidRPr="003A2A57" w:rsidRDefault="00724B34" w:rsidP="003D1972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451735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3D1972" w:rsidRPr="003A2A57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travnja</w:t>
            </w:r>
            <w:r w:rsidR="003D1972" w:rsidRPr="003A2A57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16</w:t>
            </w:r>
            <w:r w:rsidR="003D1972" w:rsidRPr="003A2A57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svibnja</w:t>
            </w:r>
            <w:r w:rsidR="003D1972" w:rsidRPr="003A2A57">
              <w:rPr>
                <w:rFonts w:ascii="Arial" w:hAnsi="Arial" w:cs="Arial"/>
                <w:bCs/>
                <w:sz w:val="20"/>
                <w:szCs w:val="20"/>
              </w:rPr>
              <w:t xml:space="preserve"> 202</w:t>
            </w:r>
            <w:r w:rsidR="003D1972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3D1972" w:rsidRPr="003A2A57">
              <w:rPr>
                <w:rFonts w:ascii="Arial" w:hAnsi="Arial" w:cs="Arial"/>
                <w:bCs/>
                <w:sz w:val="20"/>
                <w:szCs w:val="20"/>
              </w:rPr>
              <w:t>. godine</w:t>
            </w:r>
          </w:p>
        </w:tc>
      </w:tr>
      <w:tr w:rsidR="003D1972" w:rsidRPr="00B5538A" w14:paraId="74D3580F" w14:textId="77777777" w:rsidTr="007D0FE0">
        <w:trPr>
          <w:trHeight w:val="135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D6F805" w14:textId="77777777" w:rsidR="003D1972" w:rsidRPr="00E96086" w:rsidRDefault="003D1972" w:rsidP="003D1972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CF597F4" w14:textId="238FC660" w:rsidR="003D1972" w:rsidRPr="003A2A57" w:rsidRDefault="003D1972" w:rsidP="003D1972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sz w:val="20"/>
                <w:szCs w:val="20"/>
              </w:rPr>
              <w:t xml:space="preserve">Tijekom internetsko javnog savjetovanja zaprimili </w:t>
            </w:r>
            <w:r w:rsidR="004A21A6">
              <w:rPr>
                <w:rFonts w:ascii="Arial" w:hAnsi="Arial" w:cs="Arial"/>
                <w:sz w:val="20"/>
                <w:szCs w:val="20"/>
              </w:rPr>
              <w:t xml:space="preserve">smo 2 </w:t>
            </w:r>
            <w:r w:rsidRPr="003A2A57">
              <w:rPr>
                <w:rFonts w:ascii="Arial" w:hAnsi="Arial" w:cs="Arial"/>
                <w:sz w:val="20"/>
                <w:szCs w:val="20"/>
              </w:rPr>
              <w:t>očitovanje</w:t>
            </w:r>
            <w:r w:rsidR="00346828">
              <w:rPr>
                <w:rFonts w:ascii="Arial" w:hAnsi="Arial" w:cs="Arial"/>
                <w:sz w:val="20"/>
                <w:szCs w:val="20"/>
              </w:rPr>
              <w:t xml:space="preserve">, odnosno </w:t>
            </w:r>
            <w:r w:rsidR="005217D9">
              <w:rPr>
                <w:rFonts w:ascii="Arial" w:hAnsi="Arial" w:cs="Arial"/>
                <w:sz w:val="20"/>
                <w:szCs w:val="20"/>
              </w:rPr>
              <w:t xml:space="preserve">ukupno </w:t>
            </w:r>
            <w:r w:rsidR="00346828">
              <w:rPr>
                <w:rFonts w:ascii="Arial" w:hAnsi="Arial" w:cs="Arial"/>
                <w:sz w:val="20"/>
                <w:szCs w:val="20"/>
              </w:rPr>
              <w:t xml:space="preserve">7 primjedbi / prijedloga </w:t>
            </w:r>
            <w:r w:rsidRPr="003A2A57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724B34" w:rsidRPr="001A6FF9">
              <w:rPr>
                <w:rFonts w:cstheme="minorHAnsi"/>
                <w:bCs/>
              </w:rPr>
              <w:t>Nacrt</w:t>
            </w:r>
            <w:r w:rsidR="00724B34">
              <w:rPr>
                <w:rFonts w:cstheme="minorHAnsi"/>
                <w:bCs/>
              </w:rPr>
              <w:t xml:space="preserve"> Odluke o izmjeni Odluke o obavljanju dimnjačarskih poslova na području Općine </w:t>
            </w:r>
            <w:proofErr w:type="spellStart"/>
            <w:r w:rsidR="00724B34">
              <w:rPr>
                <w:rFonts w:cstheme="minorHAnsi"/>
                <w:bCs/>
              </w:rPr>
              <w:t>Drnje</w:t>
            </w:r>
            <w:proofErr w:type="spellEnd"/>
          </w:p>
        </w:tc>
      </w:tr>
      <w:tr w:rsidR="003D1972" w:rsidRPr="00B5538A" w14:paraId="540AC297" w14:textId="77777777" w:rsidTr="00E96086"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E6315B" w14:textId="77777777" w:rsidR="003D1972" w:rsidRPr="00E96086" w:rsidRDefault="003D1972" w:rsidP="003D1972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prihvaćenih i neprihvaćenih mišljenja i prijedloga s obrazloženjem </w:t>
            </w: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razloga za neprihvaćanje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52DAB20" w14:textId="06B96E22" w:rsidR="003D1972" w:rsidRPr="003A2A57" w:rsidRDefault="004A21A6" w:rsidP="003D1972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Tablica se nalazi u privitku</w:t>
            </w:r>
          </w:p>
        </w:tc>
      </w:tr>
      <w:tr w:rsidR="003D1972" w:rsidRPr="00B5538A" w14:paraId="5ED58CA0" w14:textId="77777777" w:rsidTr="00E96086">
        <w:trPr>
          <w:trHeight w:val="78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BD7FE23" w14:textId="77777777" w:rsidR="003D1972" w:rsidRPr="00E96086" w:rsidRDefault="003D1972" w:rsidP="003D1972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38134DC" w14:textId="78FE0713" w:rsidR="003D1972" w:rsidRPr="003A2A57" w:rsidRDefault="003D1972" w:rsidP="003D1972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</w:tr>
      <w:tr w:rsidR="003D1972" w:rsidRPr="00B5538A" w14:paraId="076B2118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80B283" w14:textId="77777777" w:rsidR="003D1972" w:rsidRPr="00E96086" w:rsidRDefault="003D1972" w:rsidP="003D1972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4D2402" w14:textId="70884C4D" w:rsidR="003D1972" w:rsidRPr="003A2A57" w:rsidRDefault="003D1972" w:rsidP="003D1972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sz w:val="20"/>
                <w:szCs w:val="20"/>
              </w:rPr>
              <w:t>Provedba internetskog  savjetovanja nije iskazivala dodatne financijske troškove.</w:t>
            </w:r>
          </w:p>
        </w:tc>
      </w:tr>
      <w:tr w:rsidR="003D1972" w:rsidRPr="00B5538A" w14:paraId="291B159D" w14:textId="77777777" w:rsidTr="00B5538A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EFBFD3A" w14:textId="280CDCF4" w:rsidR="003D1972" w:rsidRPr="00E96086" w:rsidRDefault="003D1972" w:rsidP="003D1972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Izvješće o provedenom savjetovanju izradila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42E8E70" w14:textId="44529BDC" w:rsidR="003D1972" w:rsidRPr="003A2A57" w:rsidRDefault="003D1972" w:rsidP="003D1972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2A57">
              <w:rPr>
                <w:rFonts w:ascii="Arial" w:hAnsi="Arial" w:cs="Arial"/>
                <w:sz w:val="20"/>
                <w:szCs w:val="20"/>
              </w:rPr>
              <w:t xml:space="preserve">Nataša </w:t>
            </w:r>
            <w:proofErr w:type="spellStart"/>
            <w:r w:rsidRPr="003A2A57">
              <w:rPr>
                <w:rFonts w:ascii="Arial" w:hAnsi="Arial" w:cs="Arial"/>
                <w:sz w:val="20"/>
                <w:szCs w:val="20"/>
              </w:rPr>
              <w:t>Tišlerić</w:t>
            </w:r>
            <w:proofErr w:type="spellEnd"/>
          </w:p>
        </w:tc>
      </w:tr>
    </w:tbl>
    <w:p w14:paraId="62FC5E8D" w14:textId="614BBD63" w:rsidR="00FF0B57" w:rsidRDefault="00FF0B57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55CB5105" w14:textId="33845AFB" w:rsidR="00C9117C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KLASA:013-02/2</w:t>
      </w:r>
      <w:r w:rsidR="00F25076">
        <w:rPr>
          <w:rFonts w:ascii="Arial" w:eastAsia="Calibri" w:hAnsi="Arial" w:cs="Arial"/>
          <w:b/>
          <w:bCs/>
          <w:sz w:val="20"/>
          <w:szCs w:val="20"/>
          <w:lang w:eastAsia="en-US"/>
        </w:rPr>
        <w:t>6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-01/</w:t>
      </w:r>
      <w:r w:rsidR="00F25076">
        <w:rPr>
          <w:rFonts w:ascii="Arial" w:eastAsia="Calibri" w:hAnsi="Arial" w:cs="Arial"/>
          <w:b/>
          <w:bCs/>
          <w:sz w:val="20"/>
          <w:szCs w:val="20"/>
          <w:lang w:eastAsia="en-US"/>
        </w:rPr>
        <w:t>0</w:t>
      </w:r>
      <w:r w:rsidR="004A21A6">
        <w:rPr>
          <w:rFonts w:ascii="Arial" w:eastAsia="Calibri" w:hAnsi="Arial" w:cs="Arial"/>
          <w:b/>
          <w:bCs/>
          <w:sz w:val="20"/>
          <w:szCs w:val="20"/>
          <w:lang w:eastAsia="en-US"/>
        </w:rPr>
        <w:t>9</w:t>
      </w:r>
    </w:p>
    <w:p w14:paraId="07E9FE3A" w14:textId="34FA6B94" w:rsidR="00C9117C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URBROJ:2137-4-2</w:t>
      </w:r>
      <w:r w:rsidR="00F25076">
        <w:rPr>
          <w:rFonts w:ascii="Arial" w:eastAsia="Calibri" w:hAnsi="Arial" w:cs="Arial"/>
          <w:b/>
          <w:bCs/>
          <w:sz w:val="20"/>
          <w:szCs w:val="20"/>
          <w:lang w:eastAsia="en-US"/>
        </w:rPr>
        <w:t>6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-</w:t>
      </w:r>
      <w:r w:rsidR="00037028">
        <w:rPr>
          <w:rFonts w:ascii="Arial" w:eastAsia="Calibri" w:hAnsi="Arial" w:cs="Arial"/>
          <w:b/>
          <w:bCs/>
          <w:sz w:val="20"/>
          <w:szCs w:val="20"/>
          <w:lang w:eastAsia="en-US"/>
        </w:rPr>
        <w:t>4</w:t>
      </w:r>
    </w:p>
    <w:p w14:paraId="51E166E2" w14:textId="4CC876D6" w:rsidR="00C9117C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proofErr w:type="spellStart"/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Drnje</w:t>
      </w:r>
      <w:proofErr w:type="spellEnd"/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, </w:t>
      </w:r>
      <w:r w:rsidR="00724B34">
        <w:rPr>
          <w:rFonts w:ascii="Arial" w:eastAsia="Calibri" w:hAnsi="Arial" w:cs="Arial"/>
          <w:b/>
          <w:bCs/>
          <w:sz w:val="20"/>
          <w:szCs w:val="20"/>
          <w:lang w:eastAsia="en-US"/>
        </w:rPr>
        <w:t>18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. </w:t>
      </w:r>
      <w:r w:rsidR="00724B34">
        <w:rPr>
          <w:rFonts w:ascii="Arial" w:eastAsia="Calibri" w:hAnsi="Arial" w:cs="Arial"/>
          <w:b/>
          <w:bCs/>
          <w:sz w:val="20"/>
          <w:szCs w:val="20"/>
          <w:lang w:eastAsia="en-US"/>
        </w:rPr>
        <w:t>svibnja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202</w:t>
      </w:r>
      <w:r w:rsidR="00F25076">
        <w:rPr>
          <w:rFonts w:ascii="Arial" w:eastAsia="Calibri" w:hAnsi="Arial" w:cs="Arial"/>
          <w:b/>
          <w:bCs/>
          <w:sz w:val="20"/>
          <w:szCs w:val="20"/>
          <w:lang w:eastAsia="en-US"/>
        </w:rPr>
        <w:t>6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.</w:t>
      </w:r>
    </w:p>
    <w:p w14:paraId="46B025F6" w14:textId="6EAD219C" w:rsidR="00037028" w:rsidRDefault="00037028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br w:type="page"/>
      </w:r>
    </w:p>
    <w:p w14:paraId="11BE0043" w14:textId="77777777" w:rsidR="005217D9" w:rsidRDefault="005217D9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  <w:sectPr w:rsidR="005217D9" w:rsidSect="00A34133">
          <w:head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44D3873C" w14:textId="77777777" w:rsidR="005217D9" w:rsidRPr="00FD630F" w:rsidRDefault="005217D9" w:rsidP="005217D9">
      <w:pPr>
        <w:jc w:val="center"/>
        <w:rPr>
          <w:b/>
          <w:bCs/>
        </w:rPr>
      </w:pPr>
      <w:r w:rsidRPr="00FD630F">
        <w:rPr>
          <w:b/>
          <w:bCs/>
        </w:rPr>
        <w:lastRenderedPageBreak/>
        <w:t>SAVJETOVANJE S JAVNOŠĆU O NACRTU</w:t>
      </w:r>
    </w:p>
    <w:p w14:paraId="01F7D90D" w14:textId="77777777" w:rsidR="005217D9" w:rsidRPr="00FD630F" w:rsidRDefault="005217D9" w:rsidP="005217D9">
      <w:pPr>
        <w:jc w:val="center"/>
        <w:rPr>
          <w:b/>
          <w:bCs/>
        </w:rPr>
      </w:pPr>
      <w:r w:rsidRPr="00FD630F">
        <w:rPr>
          <w:b/>
          <w:bCs/>
        </w:rPr>
        <w:t>PROGRAMA MJERA ZA POTICANJE RJEŠAVANJA STAMABENOG PITANJA MLADIH OSOBA NA PODRUČJU OPĆINE DRNJE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"/>
        <w:gridCol w:w="1817"/>
        <w:gridCol w:w="4638"/>
        <w:gridCol w:w="6986"/>
      </w:tblGrid>
      <w:tr w:rsidR="005217D9" w14:paraId="33620251" w14:textId="77777777" w:rsidTr="005217D9">
        <w:tc>
          <w:tcPr>
            <w:tcW w:w="457" w:type="dxa"/>
            <w:vAlign w:val="center"/>
          </w:tcPr>
          <w:p w14:paraId="1C4E6971" w14:textId="77777777" w:rsidR="005217D9" w:rsidRPr="00FD630F" w:rsidRDefault="005217D9" w:rsidP="00EC11D5">
            <w:pPr>
              <w:jc w:val="center"/>
              <w:rPr>
                <w:b/>
                <w:bCs/>
              </w:rPr>
            </w:pPr>
            <w:r w:rsidRPr="00FD630F">
              <w:rPr>
                <w:b/>
                <w:bCs/>
              </w:rPr>
              <w:t>Br.</w:t>
            </w:r>
          </w:p>
        </w:tc>
        <w:tc>
          <w:tcPr>
            <w:tcW w:w="1817" w:type="dxa"/>
            <w:vAlign w:val="center"/>
          </w:tcPr>
          <w:p w14:paraId="072FE3DB" w14:textId="77777777" w:rsidR="005217D9" w:rsidRPr="00FD630F" w:rsidRDefault="005217D9" w:rsidP="00EC11D5">
            <w:pPr>
              <w:jc w:val="center"/>
              <w:rPr>
                <w:b/>
                <w:bCs/>
              </w:rPr>
            </w:pPr>
            <w:r w:rsidRPr="00FD630F">
              <w:rPr>
                <w:b/>
                <w:bCs/>
              </w:rPr>
              <w:t>Predstavnici javnosti (pojedinac, organizacija, institucija)</w:t>
            </w:r>
          </w:p>
        </w:tc>
        <w:tc>
          <w:tcPr>
            <w:tcW w:w="4638" w:type="dxa"/>
            <w:vAlign w:val="center"/>
          </w:tcPr>
          <w:p w14:paraId="5344FDD5" w14:textId="77777777" w:rsidR="005217D9" w:rsidRPr="00FD630F" w:rsidRDefault="005217D9" w:rsidP="00EC11D5">
            <w:pPr>
              <w:jc w:val="center"/>
              <w:rPr>
                <w:b/>
                <w:bCs/>
              </w:rPr>
            </w:pPr>
            <w:r w:rsidRPr="00FD630F">
              <w:rPr>
                <w:b/>
                <w:bCs/>
              </w:rPr>
              <w:t>Tekst primjedbe / prijedloga</w:t>
            </w:r>
          </w:p>
        </w:tc>
        <w:tc>
          <w:tcPr>
            <w:tcW w:w="6986" w:type="dxa"/>
            <w:vAlign w:val="center"/>
          </w:tcPr>
          <w:p w14:paraId="18CAB3D7" w14:textId="77777777" w:rsidR="005217D9" w:rsidRPr="00FD630F" w:rsidRDefault="005217D9" w:rsidP="00EC11D5">
            <w:pPr>
              <w:jc w:val="center"/>
              <w:rPr>
                <w:b/>
                <w:bCs/>
              </w:rPr>
            </w:pPr>
            <w:r w:rsidRPr="00FD630F">
              <w:rPr>
                <w:b/>
                <w:bCs/>
              </w:rPr>
              <w:t xml:space="preserve">Očitovanje o primjedbi / prijedlogu </w:t>
            </w:r>
          </w:p>
        </w:tc>
      </w:tr>
      <w:tr w:rsidR="005217D9" w14:paraId="455A8A09" w14:textId="77777777" w:rsidTr="005217D9">
        <w:tc>
          <w:tcPr>
            <w:tcW w:w="457" w:type="dxa"/>
          </w:tcPr>
          <w:p w14:paraId="51FFB4A4" w14:textId="77777777" w:rsidR="005217D9" w:rsidRDefault="005217D9" w:rsidP="00EC11D5">
            <w:pPr>
              <w:jc w:val="center"/>
            </w:pPr>
            <w:r>
              <w:t>1.</w:t>
            </w:r>
          </w:p>
        </w:tc>
        <w:tc>
          <w:tcPr>
            <w:tcW w:w="1817" w:type="dxa"/>
          </w:tcPr>
          <w:p w14:paraId="59C1E1E6" w14:textId="77777777" w:rsidR="005217D9" w:rsidRDefault="005217D9" w:rsidP="00EC11D5">
            <w:pPr>
              <w:jc w:val="center"/>
            </w:pPr>
            <w:r>
              <w:t xml:space="preserve">Obitelj </w:t>
            </w:r>
            <w:proofErr w:type="spellStart"/>
            <w:r>
              <w:t>Halavuk</w:t>
            </w:r>
            <w:proofErr w:type="spellEnd"/>
          </w:p>
          <w:p w14:paraId="7E042B16" w14:textId="77777777" w:rsidR="005217D9" w:rsidRDefault="005217D9" w:rsidP="00EC11D5">
            <w:pPr>
              <w:jc w:val="center"/>
            </w:pPr>
            <w:r>
              <w:t xml:space="preserve">Obitelj </w:t>
            </w:r>
            <w:proofErr w:type="spellStart"/>
            <w:r>
              <w:t>Poljan</w:t>
            </w:r>
            <w:proofErr w:type="spellEnd"/>
          </w:p>
        </w:tc>
        <w:tc>
          <w:tcPr>
            <w:tcW w:w="4638" w:type="dxa"/>
          </w:tcPr>
          <w:p w14:paraId="00F5F8D6" w14:textId="77777777" w:rsidR="005217D9" w:rsidRDefault="005217D9" w:rsidP="00EC11D5">
            <w:pPr>
              <w:jc w:val="both"/>
            </w:pPr>
            <w:r>
              <w:t>„Predlažemo da pravo na sufinanciranje ostvare i obitelji koje nisu dobile potporu na prošlom natječaju te da sve obitelji imaju jednaka prava da se ne osjećamo zakinuto“</w:t>
            </w:r>
          </w:p>
        </w:tc>
        <w:tc>
          <w:tcPr>
            <w:tcW w:w="6986" w:type="dxa"/>
          </w:tcPr>
          <w:p w14:paraId="7757D75F" w14:textId="77777777" w:rsidR="005217D9" w:rsidRPr="00B22BCC" w:rsidRDefault="005217D9" w:rsidP="00EC11D5">
            <w:pPr>
              <w:jc w:val="center"/>
              <w:rPr>
                <w:b/>
                <w:bCs/>
              </w:rPr>
            </w:pPr>
            <w:r w:rsidRPr="00B22BCC">
              <w:rPr>
                <w:b/>
                <w:bCs/>
              </w:rPr>
              <w:t>Ne prihvaća se.</w:t>
            </w:r>
          </w:p>
          <w:p w14:paraId="7FEE491A" w14:textId="77777777" w:rsidR="005217D9" w:rsidRPr="00E94615" w:rsidRDefault="005217D9" w:rsidP="00EC11D5">
            <w:pPr>
              <w:jc w:val="both"/>
            </w:pPr>
            <w:r w:rsidRPr="00E94615">
              <w:t>Programom je u točki 3. jasno propisano tko može ostvariti status korisnika pojedine mjere, pri čemu nisu predviđena ograničenja niti isključenja za osobe koje u prethodnim javnim pozivima nisu ostvarile pravo na potporu.</w:t>
            </w:r>
          </w:p>
          <w:p w14:paraId="73775DE8" w14:textId="77777777" w:rsidR="005217D9" w:rsidRDefault="005217D9" w:rsidP="00EC11D5">
            <w:pPr>
              <w:jc w:val="both"/>
            </w:pPr>
            <w:r w:rsidRPr="00E94615">
              <w:t>Svi prijavitelji ostvaruju pravo sudjelovanja pod jednakim uvjetima, a dodjela sredstava provodi se sukladno unaprijed utvrđenim kriterijima, raspoloživim proračunskim sredstvima te ostvarenome broju bodova, na načelima transparentnosti i jednakog postupanja prema svim podnositeljima prijava.</w:t>
            </w:r>
          </w:p>
        </w:tc>
      </w:tr>
      <w:tr w:rsidR="005217D9" w14:paraId="144ABA46" w14:textId="77777777" w:rsidTr="005217D9">
        <w:tc>
          <w:tcPr>
            <w:tcW w:w="457" w:type="dxa"/>
          </w:tcPr>
          <w:p w14:paraId="3D6E65BE" w14:textId="77777777" w:rsidR="005217D9" w:rsidRDefault="005217D9" w:rsidP="00EC11D5">
            <w:pPr>
              <w:jc w:val="center"/>
            </w:pPr>
            <w:r>
              <w:t>2.</w:t>
            </w:r>
          </w:p>
        </w:tc>
        <w:tc>
          <w:tcPr>
            <w:tcW w:w="1817" w:type="dxa"/>
          </w:tcPr>
          <w:p w14:paraId="4F420822" w14:textId="77777777" w:rsidR="005217D9" w:rsidRDefault="005217D9" w:rsidP="00EC11D5">
            <w:pPr>
              <w:jc w:val="center"/>
            </w:pPr>
            <w:r>
              <w:t xml:space="preserve">Obitelj </w:t>
            </w:r>
            <w:proofErr w:type="spellStart"/>
            <w:r>
              <w:t>Halavuk</w:t>
            </w:r>
            <w:proofErr w:type="spellEnd"/>
          </w:p>
          <w:p w14:paraId="333EDF96" w14:textId="77777777" w:rsidR="005217D9" w:rsidRDefault="005217D9" w:rsidP="00EC11D5">
            <w:pPr>
              <w:jc w:val="center"/>
            </w:pPr>
            <w:r>
              <w:t xml:space="preserve">Obitelj </w:t>
            </w:r>
            <w:proofErr w:type="spellStart"/>
            <w:r>
              <w:t>Poljan</w:t>
            </w:r>
            <w:proofErr w:type="spellEnd"/>
          </w:p>
        </w:tc>
        <w:tc>
          <w:tcPr>
            <w:tcW w:w="4638" w:type="dxa"/>
          </w:tcPr>
          <w:p w14:paraId="0E14522A" w14:textId="77777777" w:rsidR="005217D9" w:rsidRDefault="005217D9" w:rsidP="00EC11D5">
            <w:pPr>
              <w:jc w:val="both"/>
            </w:pPr>
            <w:r>
              <w:t>„Molimo da se iznos za kupnju kuće smanji s 10.000,00 € na 4.500,00 € kako bi više obitelji moglo ostvariti pravo na sufinanciranje, uključujući obitelji koju su ranije bile zakinute te one koje će kuću kupiti u buduće.“</w:t>
            </w:r>
          </w:p>
        </w:tc>
        <w:tc>
          <w:tcPr>
            <w:tcW w:w="6986" w:type="dxa"/>
          </w:tcPr>
          <w:p w14:paraId="3CA0D27A" w14:textId="77777777" w:rsidR="005217D9" w:rsidRPr="00002196" w:rsidRDefault="005217D9" w:rsidP="00EC11D5">
            <w:pPr>
              <w:jc w:val="center"/>
              <w:rPr>
                <w:b/>
                <w:bCs/>
              </w:rPr>
            </w:pPr>
            <w:r w:rsidRPr="00002196">
              <w:rPr>
                <w:b/>
                <w:bCs/>
              </w:rPr>
              <w:t>Ne prihvaća se.</w:t>
            </w:r>
          </w:p>
          <w:p w14:paraId="00B75529" w14:textId="77777777" w:rsidR="005217D9" w:rsidRDefault="005217D9" w:rsidP="00EC11D5">
            <w:pPr>
              <w:jc w:val="both"/>
            </w:pPr>
            <w:r>
              <w:t xml:space="preserve">Predviđeni iznos Mjere 1. Potpora za kupnju stambenog objekta iznosi maksimalno 8.000,00 €, a ne 10.000,00 € kako se navodi u primjedbi. Nadalje, točka 9. Programa prikazuje način utvrđivanja kriterija bodovanje pristiglih prijava s napomenom da se sredstva dodjeljuju sukladno ostvarenom broju bodova, a u slučaju jednog broja bodova obzirom na veći broj mjera (Mjera 1., Mjera 2., i Mjera 3.) prednost imaju prijave za kupnju i izgradnju stambenog objekta, a u slučaju da su prijave bodovno i po prijavi mjere jednake, prednost se određuje vremenom zaprimanja. </w:t>
            </w:r>
            <w:r w:rsidRPr="00E94615">
              <w:t>Također, predmetni Program odnosi se isključivo na provedbu u 2026. godini te nije moguće unaprijed obuhvatiti buduće kupnje stambenih objekata niti prijave koje nisu podnesene u okviru predmetnog javnog poziva.</w:t>
            </w:r>
          </w:p>
        </w:tc>
      </w:tr>
      <w:tr w:rsidR="005217D9" w14:paraId="5CE50F33" w14:textId="77777777" w:rsidTr="005217D9">
        <w:tc>
          <w:tcPr>
            <w:tcW w:w="457" w:type="dxa"/>
          </w:tcPr>
          <w:p w14:paraId="11D8C1A3" w14:textId="77777777" w:rsidR="005217D9" w:rsidRDefault="005217D9" w:rsidP="00EC11D5">
            <w:pPr>
              <w:jc w:val="center"/>
            </w:pPr>
            <w:r>
              <w:t>3.</w:t>
            </w:r>
          </w:p>
        </w:tc>
        <w:tc>
          <w:tcPr>
            <w:tcW w:w="1817" w:type="dxa"/>
          </w:tcPr>
          <w:p w14:paraId="43893DA7" w14:textId="77777777" w:rsidR="005217D9" w:rsidRDefault="005217D9" w:rsidP="00EC11D5">
            <w:pPr>
              <w:jc w:val="center"/>
            </w:pPr>
            <w:r>
              <w:t xml:space="preserve">Obitelj </w:t>
            </w:r>
            <w:proofErr w:type="spellStart"/>
            <w:r>
              <w:t>Halavuk</w:t>
            </w:r>
            <w:proofErr w:type="spellEnd"/>
          </w:p>
          <w:p w14:paraId="030F110B" w14:textId="77777777" w:rsidR="005217D9" w:rsidRDefault="005217D9" w:rsidP="00EC11D5">
            <w:pPr>
              <w:jc w:val="center"/>
            </w:pPr>
            <w:r>
              <w:t xml:space="preserve">Obitelj </w:t>
            </w:r>
            <w:proofErr w:type="spellStart"/>
            <w:r>
              <w:t>Poljan</w:t>
            </w:r>
            <w:proofErr w:type="spellEnd"/>
          </w:p>
        </w:tc>
        <w:tc>
          <w:tcPr>
            <w:tcW w:w="4638" w:type="dxa"/>
          </w:tcPr>
          <w:p w14:paraId="740D74DC" w14:textId="77777777" w:rsidR="005217D9" w:rsidRDefault="005217D9" w:rsidP="00EC11D5">
            <w:pPr>
              <w:jc w:val="both"/>
            </w:pPr>
            <w:r>
              <w:t xml:space="preserve">„Smatramo da je potrebno dozvoliti da si i mladi ljudi koji imaju svoj stambeni prostor izvrše potrebnu adaptaciju odnosno rekonstrukciju svog </w:t>
            </w:r>
            <w:r>
              <w:lastRenderedPageBreak/>
              <w:t>stambenog prostora jer će si na taj način stvoriti bolje uvjete za život u našoj sredini i time posredno i ostati u našoj sredini.“</w:t>
            </w:r>
          </w:p>
        </w:tc>
        <w:tc>
          <w:tcPr>
            <w:tcW w:w="6986" w:type="dxa"/>
          </w:tcPr>
          <w:p w14:paraId="43492006" w14:textId="77777777" w:rsidR="005217D9" w:rsidRDefault="005217D9" w:rsidP="00EC11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Ne prihvaća se</w:t>
            </w:r>
            <w:r w:rsidRPr="00280CB4">
              <w:rPr>
                <w:b/>
                <w:bCs/>
              </w:rPr>
              <w:t>.</w:t>
            </w:r>
          </w:p>
          <w:p w14:paraId="675E5993" w14:textId="77777777" w:rsidR="005217D9" w:rsidRDefault="005217D9" w:rsidP="00EC11D5">
            <w:pPr>
              <w:jc w:val="both"/>
            </w:pPr>
            <w:r>
              <w:t>Programom je naglasak stavljen na kupnju i obnovu zapuštenih objekata te na rekonstrukciju objekta koji nisu odgovarajući stambeni prostor.</w:t>
            </w:r>
          </w:p>
          <w:p w14:paraId="299F3C9D" w14:textId="77777777" w:rsidR="005217D9" w:rsidRDefault="005217D9" w:rsidP="00EC11D5">
            <w:pPr>
              <w:jc w:val="both"/>
            </w:pPr>
            <w:r w:rsidRPr="009C3D57">
              <w:rPr>
                <w:rFonts w:cstheme="minorHAnsi"/>
              </w:rPr>
              <w:lastRenderedPageBreak/>
              <w:t>Međutim, prijedlog se smatra usmjerenim na unaprjeđenje uvjeta stanovanja te poticanje ostanka mladih na području jedinice lokalne samouprave, slijedom čega će se isti uzeti u razmatranje prilikom izrade budućih programa i planiranja narednih proračunskih razdoblja.</w:t>
            </w:r>
          </w:p>
        </w:tc>
      </w:tr>
      <w:tr w:rsidR="005217D9" w14:paraId="1EC25925" w14:textId="77777777" w:rsidTr="005217D9">
        <w:tc>
          <w:tcPr>
            <w:tcW w:w="457" w:type="dxa"/>
          </w:tcPr>
          <w:p w14:paraId="5A851242" w14:textId="77777777" w:rsidR="005217D9" w:rsidRDefault="005217D9" w:rsidP="00EC11D5">
            <w:pPr>
              <w:jc w:val="center"/>
            </w:pPr>
            <w:r>
              <w:lastRenderedPageBreak/>
              <w:t>4.</w:t>
            </w:r>
          </w:p>
        </w:tc>
        <w:tc>
          <w:tcPr>
            <w:tcW w:w="1817" w:type="dxa"/>
          </w:tcPr>
          <w:p w14:paraId="3E1A5C0C" w14:textId="77777777" w:rsidR="005217D9" w:rsidRDefault="005217D9" w:rsidP="00EC11D5">
            <w:pPr>
              <w:jc w:val="center"/>
            </w:pPr>
            <w:r>
              <w:t xml:space="preserve">Obitelj </w:t>
            </w:r>
            <w:proofErr w:type="spellStart"/>
            <w:r>
              <w:t>Halavuk</w:t>
            </w:r>
            <w:proofErr w:type="spellEnd"/>
          </w:p>
          <w:p w14:paraId="144A0BAF" w14:textId="77777777" w:rsidR="005217D9" w:rsidRDefault="005217D9" w:rsidP="00EC11D5">
            <w:pPr>
              <w:jc w:val="center"/>
            </w:pPr>
            <w:r>
              <w:t xml:space="preserve">Obitelj </w:t>
            </w:r>
            <w:proofErr w:type="spellStart"/>
            <w:r>
              <w:t>Poljan</w:t>
            </w:r>
            <w:proofErr w:type="spellEnd"/>
          </w:p>
        </w:tc>
        <w:tc>
          <w:tcPr>
            <w:tcW w:w="4638" w:type="dxa"/>
          </w:tcPr>
          <w:p w14:paraId="77AEEB73" w14:textId="77777777" w:rsidR="005217D9" w:rsidRDefault="005217D9" w:rsidP="00EC11D5">
            <w:pPr>
              <w:jc w:val="both"/>
            </w:pPr>
            <w:r>
              <w:t>„Kako bi se potaknuo ostanak mladih u našoj sredini i predlažemo da se u navedeni Program kao jedna od mjera uvrsti i MJERA 4: REKONSTRUKCIJA POSTOJEĆEG STAMBENOG OBJEKTA U SVRHU POBOLJŠANJA ENERGETSKE UČINKOVITOSTI STAMBENOG OBJEKTA.“</w:t>
            </w:r>
          </w:p>
        </w:tc>
        <w:tc>
          <w:tcPr>
            <w:tcW w:w="6986" w:type="dxa"/>
          </w:tcPr>
          <w:p w14:paraId="0C8B816F" w14:textId="77777777" w:rsidR="005217D9" w:rsidRDefault="005217D9" w:rsidP="00EC11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 prihvaća se.</w:t>
            </w:r>
          </w:p>
          <w:p w14:paraId="5EF12D1B" w14:textId="77777777" w:rsidR="005217D9" w:rsidRPr="009C3D57" w:rsidRDefault="005217D9" w:rsidP="00EC11D5">
            <w:pPr>
              <w:pStyle w:val="isselectedend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9C3D57">
              <w:rPr>
                <w:rFonts w:asciiTheme="minorHAnsi" w:hAnsiTheme="minorHAnsi" w:cstheme="minorHAnsi"/>
                <w:sz w:val="22"/>
                <w:szCs w:val="22"/>
              </w:rPr>
              <w:t>Predložena mjera rekonstrukcije postojećeg stambenog objekta u svrhu poboljšanja energetske učinkovitosti nije obuhvaćena predmetnim Programom niti su za njezinu provedbu planirana sredstva u važećem proračunu.</w:t>
            </w:r>
          </w:p>
          <w:p w14:paraId="655C3DF9" w14:textId="77777777" w:rsidR="005217D9" w:rsidRPr="009C3D57" w:rsidRDefault="005217D9" w:rsidP="00EC11D5">
            <w:pPr>
              <w:pStyle w:val="NormalWeb"/>
              <w:spacing w:before="0" w:beforeAutospacing="0" w:after="0" w:afterAutospacing="0"/>
            </w:pPr>
            <w:r w:rsidRPr="009C3D57">
              <w:rPr>
                <w:rFonts w:asciiTheme="minorHAnsi" w:hAnsiTheme="minorHAnsi" w:cstheme="minorHAnsi"/>
                <w:sz w:val="22"/>
                <w:szCs w:val="22"/>
              </w:rPr>
              <w:t>Međutim, prijedlog se smatra kvalitetnim i usmjerenim na unaprjeđenje uvjeta stanovanja te poticanje ostanka mladih na području jedinice lokalne samouprave, slijedom čega će se isti uzeti u razmatranje prilikom izrade budućih programa i planiranja narednih proračunskih razdoblja.</w:t>
            </w:r>
          </w:p>
        </w:tc>
      </w:tr>
      <w:tr w:rsidR="005217D9" w14:paraId="674C5695" w14:textId="77777777" w:rsidTr="005217D9">
        <w:tc>
          <w:tcPr>
            <w:tcW w:w="457" w:type="dxa"/>
          </w:tcPr>
          <w:p w14:paraId="20E29232" w14:textId="77777777" w:rsidR="005217D9" w:rsidRDefault="005217D9" w:rsidP="00EC11D5">
            <w:pPr>
              <w:jc w:val="center"/>
            </w:pPr>
            <w:r>
              <w:t>5.</w:t>
            </w:r>
          </w:p>
        </w:tc>
        <w:tc>
          <w:tcPr>
            <w:tcW w:w="1817" w:type="dxa"/>
          </w:tcPr>
          <w:p w14:paraId="2F0F5305" w14:textId="77777777" w:rsidR="005217D9" w:rsidRDefault="005217D9" w:rsidP="00EC11D5">
            <w:pPr>
              <w:jc w:val="center"/>
            </w:pPr>
            <w:r>
              <w:t xml:space="preserve">Adrijan </w:t>
            </w:r>
            <w:proofErr w:type="spellStart"/>
            <w:r>
              <w:t>Senković</w:t>
            </w:r>
            <w:proofErr w:type="spellEnd"/>
          </w:p>
        </w:tc>
        <w:tc>
          <w:tcPr>
            <w:tcW w:w="4638" w:type="dxa"/>
          </w:tcPr>
          <w:p w14:paraId="79F0ABE6" w14:textId="77777777" w:rsidR="005217D9" w:rsidRDefault="005217D9" w:rsidP="00EC11D5">
            <w:pPr>
              <w:jc w:val="both"/>
            </w:pPr>
            <w:r>
              <w:t>„Predlažem da se u sklopu ovog natječaja omogući retroaktivno priznavanje troškova kupnje kuće za sve korisnike koji su nekretninu kupili nakon objave (ili završetka) prethodnog natječaja za istu mjeru.“</w:t>
            </w:r>
          </w:p>
        </w:tc>
        <w:tc>
          <w:tcPr>
            <w:tcW w:w="6986" w:type="dxa"/>
          </w:tcPr>
          <w:p w14:paraId="20FF8287" w14:textId="77777777" w:rsidR="005217D9" w:rsidRPr="00525468" w:rsidRDefault="005217D9" w:rsidP="00EC11D5">
            <w:pPr>
              <w:jc w:val="center"/>
              <w:rPr>
                <w:b/>
                <w:bCs/>
              </w:rPr>
            </w:pPr>
            <w:r w:rsidRPr="00525468">
              <w:rPr>
                <w:b/>
                <w:bCs/>
              </w:rPr>
              <w:t>Ne prihvaća se.</w:t>
            </w:r>
          </w:p>
          <w:p w14:paraId="053F4525" w14:textId="77777777" w:rsidR="005217D9" w:rsidRDefault="005217D9" w:rsidP="00EC11D5">
            <w:pPr>
              <w:jc w:val="both"/>
            </w:pPr>
            <w:r>
              <w:t>Cilj programa je aktivacija odnosno obnova postojećih zapuštenih nekretnina.</w:t>
            </w:r>
          </w:p>
        </w:tc>
      </w:tr>
      <w:tr w:rsidR="005217D9" w14:paraId="1FCE9989" w14:textId="77777777" w:rsidTr="005217D9">
        <w:tc>
          <w:tcPr>
            <w:tcW w:w="457" w:type="dxa"/>
          </w:tcPr>
          <w:p w14:paraId="76A29088" w14:textId="77777777" w:rsidR="005217D9" w:rsidRDefault="005217D9" w:rsidP="00EC11D5">
            <w:pPr>
              <w:jc w:val="center"/>
            </w:pPr>
            <w:r>
              <w:t>6.</w:t>
            </w:r>
          </w:p>
        </w:tc>
        <w:tc>
          <w:tcPr>
            <w:tcW w:w="1817" w:type="dxa"/>
          </w:tcPr>
          <w:p w14:paraId="558F9BA7" w14:textId="77777777" w:rsidR="005217D9" w:rsidRDefault="005217D9" w:rsidP="00EC11D5">
            <w:pPr>
              <w:jc w:val="center"/>
            </w:pPr>
            <w:r>
              <w:t xml:space="preserve">Adrijan </w:t>
            </w:r>
            <w:proofErr w:type="spellStart"/>
            <w:r>
              <w:t>Senković</w:t>
            </w:r>
            <w:proofErr w:type="spellEnd"/>
          </w:p>
        </w:tc>
        <w:tc>
          <w:tcPr>
            <w:tcW w:w="4638" w:type="dxa"/>
          </w:tcPr>
          <w:p w14:paraId="01534564" w14:textId="77777777" w:rsidR="005217D9" w:rsidRDefault="005217D9" w:rsidP="00EC11D5">
            <w:pPr>
              <w:jc w:val="both"/>
            </w:pPr>
            <w:r>
              <w:t xml:space="preserve">„Predlažem da se u sklopu mjere za obnovu i adaptaciju jasno i izričito navedu sustavi grijanja te unutarnju Prilikom obnove starijih kuća, najveći financijski teret za mlade obitelji predstavlja uvođenje novih, energetski učinkovitih sustava grijanja te dovođenja objekata iz faze „golih zidova“ u stanje useljivosti (žbukanje, </w:t>
            </w:r>
            <w:proofErr w:type="spellStart"/>
            <w:r>
              <w:t>podopolagački</w:t>
            </w:r>
            <w:proofErr w:type="spellEnd"/>
            <w:r>
              <w:t xml:space="preserve"> radovi, postavljanje instalacija)…ključno je da se sufinanciranje ne ograniči samo na vanjske radove (fasada, krovište), već da obuhvati i unutarnje uređenje te kompletnu infrastrukturu grijanja.“</w:t>
            </w:r>
          </w:p>
        </w:tc>
        <w:tc>
          <w:tcPr>
            <w:tcW w:w="6986" w:type="dxa"/>
          </w:tcPr>
          <w:p w14:paraId="7299BA22" w14:textId="77777777" w:rsidR="005217D9" w:rsidRDefault="005217D9" w:rsidP="00EC11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 prihvaća se.</w:t>
            </w:r>
          </w:p>
          <w:p w14:paraId="0E869C06" w14:textId="77777777" w:rsidR="005217D9" w:rsidRPr="0011444C" w:rsidRDefault="005217D9" w:rsidP="00EC11D5">
            <w:pPr>
              <w:jc w:val="both"/>
            </w:pPr>
            <w:r w:rsidRPr="0011444C">
              <w:t>Odredbom točke 4.3. Mjera 3. – Rekonstrukcija, dogradnja ili nadogradnja stambenog objekta već je propisano da je prijavitelj dužan priložiti dokaze o plaćanju računa koji se odnose na izradu projektne dokumentacije, nabavu materijala te izvođenje radova vezanih uz rekonstrukciju, adaptaciju, dogradnju ili nadogradnju stambenog objekta.</w:t>
            </w:r>
          </w:p>
          <w:p w14:paraId="5D1C3FF6" w14:textId="77777777" w:rsidR="005217D9" w:rsidRPr="00FE2240" w:rsidRDefault="005217D9" w:rsidP="00EC11D5">
            <w:pPr>
              <w:jc w:val="both"/>
            </w:pPr>
            <w:r w:rsidRPr="0011444C">
              <w:t>Programom nisu propisana ograničenja u pogledu vrste prihvatljivih radova niti je taksativno određena specifikacija pojedinih zahvata, slijedom čega su prihvatljivi svi radovi i ulaganja koja predstavljaju sastavni dio rekonstrukcije ili adaptacije stambenog objekta koji nije odgovarajući stambeni prostor u smislu odredbi Programa. Navedeno obuhvaća i izvođenje unutarnjih radova, instalaterske radove te ugradnju, obnovu i modernizaciju sustava grijanja, pod uvjetom da su isti neposredno povezani s predmetnim zahvatom rekonstrukcije odnosno adaptacije objekta.</w:t>
            </w:r>
          </w:p>
        </w:tc>
      </w:tr>
      <w:tr w:rsidR="005217D9" w14:paraId="2B6C1A72" w14:textId="77777777" w:rsidTr="005217D9">
        <w:tc>
          <w:tcPr>
            <w:tcW w:w="457" w:type="dxa"/>
          </w:tcPr>
          <w:p w14:paraId="53E4D617" w14:textId="77777777" w:rsidR="005217D9" w:rsidRDefault="005217D9" w:rsidP="00EC11D5">
            <w:pPr>
              <w:jc w:val="center"/>
            </w:pPr>
            <w:r>
              <w:t>7.</w:t>
            </w:r>
          </w:p>
        </w:tc>
        <w:tc>
          <w:tcPr>
            <w:tcW w:w="1817" w:type="dxa"/>
          </w:tcPr>
          <w:p w14:paraId="0CF60879" w14:textId="77777777" w:rsidR="005217D9" w:rsidRDefault="005217D9" w:rsidP="00EC11D5">
            <w:pPr>
              <w:jc w:val="center"/>
            </w:pPr>
            <w:r>
              <w:t xml:space="preserve">Adrijan </w:t>
            </w:r>
            <w:proofErr w:type="spellStart"/>
            <w:r>
              <w:t>Senković</w:t>
            </w:r>
            <w:proofErr w:type="spellEnd"/>
          </w:p>
        </w:tc>
        <w:tc>
          <w:tcPr>
            <w:tcW w:w="4638" w:type="dxa"/>
          </w:tcPr>
          <w:p w14:paraId="55AFD4CF" w14:textId="77777777" w:rsidR="005217D9" w:rsidRDefault="005217D9" w:rsidP="00EC11D5">
            <w:pPr>
              <w:jc w:val="both"/>
            </w:pPr>
            <w:r>
              <w:t xml:space="preserve">„Predlažem da se kao prihvatljiv trošak unutar </w:t>
            </w:r>
            <w:r>
              <w:lastRenderedPageBreak/>
              <w:t>unutarnjeg uređenja izričito navedu radovi pregradnje i prenamjene prostora (poput izrade pregradnih zidova od knaufa ili opeke).“</w:t>
            </w:r>
          </w:p>
        </w:tc>
        <w:tc>
          <w:tcPr>
            <w:tcW w:w="6986" w:type="dxa"/>
          </w:tcPr>
          <w:p w14:paraId="5583F4A5" w14:textId="77777777" w:rsidR="005217D9" w:rsidRPr="00525468" w:rsidRDefault="005217D9" w:rsidP="00EC11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Ne prihvaća se.</w:t>
            </w:r>
          </w:p>
          <w:p w14:paraId="424D49EA" w14:textId="77777777" w:rsidR="005217D9" w:rsidRPr="0011444C" w:rsidRDefault="005217D9" w:rsidP="00EC11D5">
            <w:pPr>
              <w:jc w:val="both"/>
            </w:pPr>
            <w:r w:rsidRPr="0011444C">
              <w:lastRenderedPageBreak/>
              <w:t>Programom nisu taksativno navedene pojedine vrste građevinskih i obrtničkih radova koji se smatraju prihvatljivim troškovima, već su prihvatljivi svi radovi koji su u funkciji rekonstrukcije, adaptacije, dogradnje ili nadogradnje stambenog objekta sukladno uvjetima Programa.</w:t>
            </w:r>
          </w:p>
          <w:p w14:paraId="2A196608" w14:textId="77777777" w:rsidR="005217D9" w:rsidRDefault="005217D9" w:rsidP="00EC11D5">
            <w:pPr>
              <w:jc w:val="both"/>
            </w:pPr>
            <w:r w:rsidRPr="0011444C">
              <w:t>Slijedom navedenog, radovi pregradnje i prenamjene prostora, uključujući izradu pregradnih zidova od knaufa, opeke ili drugih odgovarajućih materijala, smatraju se prihvatljivim troškom ukoliko su sastavni dio zahvata rekonstrukcije odnosno adaptacije stambenog objekta</w:t>
            </w:r>
            <w:r>
              <w:t xml:space="preserve"> koji nije odgovarajući stambeni prostor u smislu odredbi Programa.</w:t>
            </w:r>
          </w:p>
        </w:tc>
      </w:tr>
    </w:tbl>
    <w:p w14:paraId="02EF564F" w14:textId="77777777" w:rsidR="00037028" w:rsidRPr="007D0FE0" w:rsidRDefault="00037028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sectPr w:rsidR="00037028" w:rsidRPr="007D0FE0" w:rsidSect="005217D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ECC5D" w14:textId="77777777" w:rsidR="004626D6" w:rsidRDefault="004626D6" w:rsidP="00E96086">
      <w:pPr>
        <w:spacing w:after="0" w:line="240" w:lineRule="auto"/>
      </w:pPr>
      <w:r>
        <w:separator/>
      </w:r>
    </w:p>
  </w:endnote>
  <w:endnote w:type="continuationSeparator" w:id="0">
    <w:p w14:paraId="112E6068" w14:textId="77777777" w:rsidR="004626D6" w:rsidRDefault="004626D6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D10EF" w14:textId="77777777" w:rsidR="004626D6" w:rsidRDefault="004626D6" w:rsidP="00E96086">
      <w:pPr>
        <w:spacing w:after="0" w:line="240" w:lineRule="auto"/>
      </w:pPr>
      <w:r>
        <w:separator/>
      </w:r>
    </w:p>
  </w:footnote>
  <w:footnote w:type="continuationSeparator" w:id="0">
    <w:p w14:paraId="59A2F35B" w14:textId="77777777" w:rsidR="004626D6" w:rsidRDefault="004626D6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60C" w14:textId="77777777" w:rsidR="00345541" w:rsidRPr="00E96086" w:rsidRDefault="00345541" w:rsidP="00345541">
    <w:pPr>
      <w:pStyle w:val="Header"/>
      <w:jc w:val="cent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92DF1"/>
    <w:multiLevelType w:val="hybridMultilevel"/>
    <w:tmpl w:val="CBDAF70E"/>
    <w:lvl w:ilvl="0" w:tplc="825A39F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F0F42DB"/>
    <w:multiLevelType w:val="hybridMultilevel"/>
    <w:tmpl w:val="40B27E96"/>
    <w:lvl w:ilvl="0" w:tplc="72C45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632E0"/>
    <w:multiLevelType w:val="hybridMultilevel"/>
    <w:tmpl w:val="0120A63C"/>
    <w:lvl w:ilvl="0" w:tplc="72C45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243241">
    <w:abstractNumId w:val="0"/>
  </w:num>
  <w:num w:numId="2" w16cid:durableId="552696544">
    <w:abstractNumId w:val="1"/>
  </w:num>
  <w:num w:numId="3" w16cid:durableId="457728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06A51"/>
    <w:rsid w:val="00026382"/>
    <w:rsid w:val="00037028"/>
    <w:rsid w:val="00053D88"/>
    <w:rsid w:val="000856AC"/>
    <w:rsid w:val="000933C8"/>
    <w:rsid w:val="000A350D"/>
    <w:rsid w:val="000A3FEC"/>
    <w:rsid w:val="000F08B8"/>
    <w:rsid w:val="00153580"/>
    <w:rsid w:val="00162E2E"/>
    <w:rsid w:val="001656DC"/>
    <w:rsid w:val="001907B5"/>
    <w:rsid w:val="001A6FF9"/>
    <w:rsid w:val="001B5CE5"/>
    <w:rsid w:val="0021057D"/>
    <w:rsid w:val="00241E7E"/>
    <w:rsid w:val="00313470"/>
    <w:rsid w:val="003358A5"/>
    <w:rsid w:val="00337E72"/>
    <w:rsid w:val="00345541"/>
    <w:rsid w:val="00346828"/>
    <w:rsid w:val="0038220E"/>
    <w:rsid w:val="00397888"/>
    <w:rsid w:val="003A025B"/>
    <w:rsid w:val="003A2A57"/>
    <w:rsid w:val="003D1972"/>
    <w:rsid w:val="003D41E4"/>
    <w:rsid w:val="003F533C"/>
    <w:rsid w:val="00451735"/>
    <w:rsid w:val="004626D6"/>
    <w:rsid w:val="00487095"/>
    <w:rsid w:val="004A21A6"/>
    <w:rsid w:val="004C00A0"/>
    <w:rsid w:val="00504138"/>
    <w:rsid w:val="005217D9"/>
    <w:rsid w:val="00564C85"/>
    <w:rsid w:val="005B0986"/>
    <w:rsid w:val="005C7133"/>
    <w:rsid w:val="005F047B"/>
    <w:rsid w:val="0067596C"/>
    <w:rsid w:val="00676D4F"/>
    <w:rsid w:val="006F258B"/>
    <w:rsid w:val="00710052"/>
    <w:rsid w:val="00710D22"/>
    <w:rsid w:val="00724B34"/>
    <w:rsid w:val="007B4669"/>
    <w:rsid w:val="007C77A8"/>
    <w:rsid w:val="007D0FE0"/>
    <w:rsid w:val="00861A01"/>
    <w:rsid w:val="008B131F"/>
    <w:rsid w:val="00914B90"/>
    <w:rsid w:val="00931A21"/>
    <w:rsid w:val="00973126"/>
    <w:rsid w:val="00981303"/>
    <w:rsid w:val="00A34133"/>
    <w:rsid w:val="00A92007"/>
    <w:rsid w:val="00B13D41"/>
    <w:rsid w:val="00B5538A"/>
    <w:rsid w:val="00B8514F"/>
    <w:rsid w:val="00B85C09"/>
    <w:rsid w:val="00B979F7"/>
    <w:rsid w:val="00BF52D4"/>
    <w:rsid w:val="00C0609F"/>
    <w:rsid w:val="00C901AA"/>
    <w:rsid w:val="00C9117C"/>
    <w:rsid w:val="00D166B5"/>
    <w:rsid w:val="00D40423"/>
    <w:rsid w:val="00D427D8"/>
    <w:rsid w:val="00D9205E"/>
    <w:rsid w:val="00DC7D06"/>
    <w:rsid w:val="00E074AF"/>
    <w:rsid w:val="00E4513D"/>
    <w:rsid w:val="00E738EC"/>
    <w:rsid w:val="00E96086"/>
    <w:rsid w:val="00EC347B"/>
    <w:rsid w:val="00ED1679"/>
    <w:rsid w:val="00F25076"/>
    <w:rsid w:val="00F742DA"/>
    <w:rsid w:val="00FE2BE4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86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86"/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7D0F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FE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41E7E"/>
    <w:pPr>
      <w:spacing w:after="0" w:line="240" w:lineRule="auto"/>
    </w:pPr>
    <w:rPr>
      <w:rFonts w:eastAsiaTheme="minorEastAsia"/>
      <w:lang w:eastAsia="hr-HR"/>
    </w:rPr>
  </w:style>
  <w:style w:type="table" w:styleId="TableGrid">
    <w:name w:val="Table Grid"/>
    <w:basedOn w:val="TableNormal"/>
    <w:uiPriority w:val="39"/>
    <w:rsid w:val="005217D9"/>
    <w:pPr>
      <w:spacing w:after="0" w:line="240" w:lineRule="auto"/>
    </w:pPr>
    <w:rPr>
      <w:rFonts w:eastAsiaTheme="minorHAns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electedend">
    <w:name w:val="isselectedend"/>
    <w:basedOn w:val="Normal"/>
    <w:rsid w:val="00521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unhideWhenUsed/>
    <w:rsid w:val="00521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nje.hr/pravo-na-pristup-informacijama/savjetovanje-sa-zainteresiranom-javnosc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1265</Words>
  <Characters>7212</Characters>
  <Application>Microsoft Office Word</Application>
  <DocSecurity>0</DocSecurity>
  <Lines>60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Frane Cvitanić</cp:lastModifiedBy>
  <cp:revision>2</cp:revision>
  <cp:lastPrinted>2026-05-18T10:24:00Z</cp:lastPrinted>
  <dcterms:created xsi:type="dcterms:W3CDTF">2026-05-18T11:35:00Z</dcterms:created>
  <dcterms:modified xsi:type="dcterms:W3CDTF">2026-05-18T11:35:00Z</dcterms:modified>
</cp:coreProperties>
</file>